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1C24C" w14:textId="77777777" w:rsidR="008B0677" w:rsidRDefault="008B0677" w:rsidP="008B0677">
      <w:pPr>
        <w:pStyle w:val="NormalWeb"/>
      </w:pPr>
      <w:r>
        <w:rPr>
          <w:rFonts w:ascii="BemboStd" w:hAnsi="BemboStd"/>
          <w:sz w:val="80"/>
          <w:szCs w:val="80"/>
        </w:rPr>
        <w:t xml:space="preserve">The Guide to IP Arbitration </w:t>
      </w:r>
    </w:p>
    <w:p w14:paraId="5B67DBDD" w14:textId="77777777" w:rsidR="008B0677" w:rsidRDefault="008B0677" w:rsidP="008B0677">
      <w:pPr>
        <w:pStyle w:val="NormalWeb"/>
      </w:pPr>
      <w:r>
        <w:rPr>
          <w:rFonts w:ascii="BemboStd" w:hAnsi="BemboStd"/>
          <w:sz w:val="32"/>
          <w:szCs w:val="32"/>
        </w:rPr>
        <w:t>Editors</w:t>
      </w:r>
      <w:r>
        <w:rPr>
          <w:rFonts w:ascii="BemboStd" w:hAnsi="BemboStd"/>
          <w:sz w:val="32"/>
          <w:szCs w:val="32"/>
        </w:rPr>
        <w:br/>
      </w:r>
      <w:proofErr w:type="spellStart"/>
      <w:r>
        <w:rPr>
          <w:rFonts w:ascii="BemboStd" w:hAnsi="BemboStd"/>
          <w:sz w:val="32"/>
          <w:szCs w:val="32"/>
        </w:rPr>
        <w:t>JohnV</w:t>
      </w:r>
      <w:proofErr w:type="spellEnd"/>
      <w:r>
        <w:rPr>
          <w:rFonts w:ascii="BemboStd" w:hAnsi="BemboStd"/>
          <w:sz w:val="32"/>
          <w:szCs w:val="32"/>
        </w:rPr>
        <w:t xml:space="preserve"> H Pierce and Pierre-Yves Gunter </w:t>
      </w:r>
    </w:p>
    <w:p w14:paraId="3A6A8999" w14:textId="77777777" w:rsidR="008B0677" w:rsidRDefault="008B0677" w:rsidP="008B0677">
      <w:pPr>
        <w:pStyle w:val="NormalWeb"/>
      </w:pPr>
      <w:r>
        <w:rPr>
          <w:rFonts w:ascii="BemboStd" w:hAnsi="BemboStd"/>
          <w:sz w:val="20"/>
          <w:szCs w:val="20"/>
        </w:rPr>
        <w:t>Reproduced with permission from Law Business Research Ltd This article was first published in February 2021</w:t>
      </w:r>
      <w:r>
        <w:rPr>
          <w:rFonts w:ascii="BemboStd" w:hAnsi="BemboStd"/>
          <w:sz w:val="20"/>
          <w:szCs w:val="20"/>
        </w:rPr>
        <w:br/>
        <w:t xml:space="preserve">For further information please contact Natalie.Clarke@lbresearch.com </w:t>
      </w:r>
    </w:p>
    <w:p w14:paraId="242D8408" w14:textId="77777777" w:rsidR="008B0677" w:rsidRDefault="008B0677" w:rsidP="008B0677">
      <w:pPr>
        <w:pStyle w:val="NormalWeb"/>
      </w:pPr>
      <w:r>
        <w:rPr>
          <w:rFonts w:ascii="CenturyGothic" w:hAnsi="CenturyGothic"/>
          <w:color w:val="565659"/>
          <w:sz w:val="154"/>
          <w:szCs w:val="154"/>
        </w:rPr>
        <w:t>g</w:t>
      </w:r>
      <w:r>
        <w:rPr>
          <w:rFonts w:ascii="CenturyGothic" w:hAnsi="CenturyGothic"/>
          <w:color w:val="BABCBF"/>
          <w:sz w:val="154"/>
          <w:szCs w:val="154"/>
        </w:rPr>
        <w:t>a</w:t>
      </w:r>
      <w:r>
        <w:rPr>
          <w:rFonts w:ascii="CenturyGothic" w:hAnsi="CenturyGothic"/>
          <w:color w:val="565659"/>
          <w:sz w:val="154"/>
          <w:szCs w:val="154"/>
        </w:rPr>
        <w:t xml:space="preserve">r </w:t>
      </w:r>
      <w:r>
        <w:rPr>
          <w:rFonts w:ascii="BemboStd" w:hAnsi="BemboStd"/>
          <w:sz w:val="16"/>
          <w:szCs w:val="16"/>
        </w:rPr>
        <w:t xml:space="preserve">© Law Business Research 2021 </w:t>
      </w:r>
    </w:p>
    <w:p w14:paraId="3A51F35E" w14:textId="012EEB65" w:rsidR="00865C92" w:rsidRDefault="00865C92"/>
    <w:p w14:paraId="000935EC" w14:textId="7C6642FF" w:rsidR="008B0677" w:rsidRDefault="008B0677"/>
    <w:p w14:paraId="7A25390A" w14:textId="010A26E7" w:rsidR="008B0677" w:rsidRDefault="008B0677"/>
    <w:p w14:paraId="7D831F8A" w14:textId="2A5DF71B" w:rsidR="008B0677" w:rsidRDefault="008B0677"/>
    <w:p w14:paraId="71DDA37E" w14:textId="5ED60D10" w:rsidR="008B0677" w:rsidRDefault="008B0677"/>
    <w:p w14:paraId="54BFF50E" w14:textId="6328F68C" w:rsidR="008B0677" w:rsidRDefault="008B0677"/>
    <w:p w14:paraId="3587383E" w14:textId="1F858522" w:rsidR="008B0677" w:rsidRDefault="008B0677"/>
    <w:p w14:paraId="60511E53" w14:textId="2305401A" w:rsidR="008B0677" w:rsidRDefault="008B0677"/>
    <w:p w14:paraId="1B78F925" w14:textId="0AFAAFCD" w:rsidR="008B0677" w:rsidRDefault="008B0677"/>
    <w:p w14:paraId="4E36F728" w14:textId="2DB48F67" w:rsidR="008B0677" w:rsidRDefault="008B0677"/>
    <w:p w14:paraId="02EE1C0B" w14:textId="03B67943" w:rsidR="008B0677" w:rsidRDefault="008B0677"/>
    <w:p w14:paraId="0A56B9B7" w14:textId="3C1F58B2" w:rsidR="008B0677" w:rsidRDefault="008B0677"/>
    <w:p w14:paraId="199A6A3A" w14:textId="53EA038B" w:rsidR="008B0677" w:rsidRDefault="008B0677"/>
    <w:p w14:paraId="5396C87B" w14:textId="5A96007B" w:rsidR="008B0677" w:rsidRDefault="008B0677"/>
    <w:p w14:paraId="479D5ACE" w14:textId="7AB16ECB" w:rsidR="008B0677" w:rsidRDefault="008B0677"/>
    <w:p w14:paraId="03F45969" w14:textId="5016C7C4" w:rsidR="008B0677" w:rsidRDefault="008B0677"/>
    <w:p w14:paraId="14FA9401" w14:textId="6C0CB01F" w:rsidR="008B0677" w:rsidRDefault="008B0677"/>
    <w:p w14:paraId="3DCD7339" w14:textId="0DCA2328" w:rsidR="008B0677" w:rsidRDefault="008B0677"/>
    <w:p w14:paraId="1EB37A05" w14:textId="665CC60A" w:rsidR="008B0677" w:rsidRDefault="008B0677"/>
    <w:p w14:paraId="10265EA1" w14:textId="2B08F6AB" w:rsidR="008B0677" w:rsidRDefault="008B0677"/>
    <w:p w14:paraId="11EBD019" w14:textId="1E9AF79F" w:rsidR="008B0677" w:rsidRDefault="008B0677"/>
    <w:p w14:paraId="3A1A4C81" w14:textId="1DF5BE1E" w:rsidR="008B0677" w:rsidRDefault="008B0677"/>
    <w:p w14:paraId="778B42C9" w14:textId="348E1A92" w:rsidR="008B0677" w:rsidRDefault="008B0677"/>
    <w:p w14:paraId="4A9E2F20" w14:textId="3182C188" w:rsidR="008B0677" w:rsidRDefault="008B0677"/>
    <w:p w14:paraId="00474F42" w14:textId="4AB84A14" w:rsidR="008B0677" w:rsidRDefault="008B0677"/>
    <w:p w14:paraId="1AFEB677" w14:textId="38AAA2E3" w:rsidR="008B0677" w:rsidRDefault="008B0677"/>
    <w:p w14:paraId="7E56B47A"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sz w:val="80"/>
          <w:szCs w:val="80"/>
        </w:rPr>
        <w:lastRenderedPageBreak/>
        <w:t xml:space="preserve">6 </w:t>
      </w:r>
    </w:p>
    <w:p w14:paraId="5F569A4E"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6"/>
          <w:szCs w:val="26"/>
        </w:rPr>
        <w:t xml:space="preserve">Disclosure Issues in International IP Arbitration </w:t>
      </w:r>
    </w:p>
    <w:p w14:paraId="186A85EB"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sz w:val="20"/>
          <w:szCs w:val="20"/>
        </w:rPr>
        <w:t xml:space="preserve">Alexander </w:t>
      </w:r>
      <w:proofErr w:type="spellStart"/>
      <w:r w:rsidRPr="008B0677">
        <w:rPr>
          <w:rFonts w:ascii="BemboStd" w:eastAsia="Times New Roman" w:hAnsi="BemboStd" w:cs="Times New Roman"/>
          <w:b/>
          <w:bCs/>
          <w:sz w:val="20"/>
          <w:szCs w:val="20"/>
        </w:rPr>
        <w:t>Blumrosen</w:t>
      </w:r>
      <w:proofErr w:type="spellEnd"/>
      <w:r w:rsidRPr="008B0677">
        <w:rPr>
          <w:rFonts w:ascii="BemboStd" w:eastAsia="Times New Roman" w:hAnsi="BemboStd" w:cs="Times New Roman"/>
          <w:b/>
          <w:bCs/>
          <w:position w:val="6"/>
          <w:sz w:val="12"/>
          <w:szCs w:val="12"/>
        </w:rPr>
        <w:t xml:space="preserve">1 </w:t>
      </w:r>
    </w:p>
    <w:p w14:paraId="49A04B3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rPr>
        <w:t xml:space="preserve">Introduction </w:t>
      </w:r>
    </w:p>
    <w:p w14:paraId="25720AFE"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When parties choose arbitration to resolve their IP disputes, there are certitudes to guide them on arbitration law and procedure, and how their case will be handled: the courts will help enforce their arbitration clause; an impartial tribunal will be selected to judge the case without a jury; and the final award will be widely enforceable in the signatory nations of the </w:t>
      </w:r>
      <w:proofErr w:type="spellStart"/>
      <w:r w:rsidRPr="008B0677">
        <w:rPr>
          <w:rFonts w:ascii="BemboStd" w:eastAsia="Times New Roman" w:hAnsi="BemboStd" w:cs="Times New Roman"/>
          <w:sz w:val="20"/>
          <w:szCs w:val="20"/>
        </w:rPr>
        <w:t>NewYork</w:t>
      </w:r>
      <w:proofErr w:type="spellEnd"/>
      <w:r w:rsidRPr="008B0677">
        <w:rPr>
          <w:rFonts w:ascii="BemboStd" w:eastAsia="Times New Roman" w:hAnsi="BemboStd" w:cs="Times New Roman"/>
          <w:sz w:val="20"/>
          <w:szCs w:val="20"/>
        </w:rPr>
        <w:t xml:space="preserve"> Convention.</w:t>
      </w:r>
      <w:r w:rsidRPr="008B0677">
        <w:rPr>
          <w:rFonts w:ascii="BemboStd" w:eastAsia="Times New Roman" w:hAnsi="BemboStd" w:cs="Times New Roman"/>
          <w:position w:val="6"/>
          <w:sz w:val="12"/>
          <w:szCs w:val="12"/>
        </w:rPr>
        <w:t xml:space="preserve">2 </w:t>
      </w:r>
      <w:r w:rsidRPr="008B0677">
        <w:rPr>
          <w:rFonts w:ascii="BemboStd" w:eastAsia="Times New Roman" w:hAnsi="BemboStd" w:cs="Times New Roman"/>
          <w:sz w:val="20"/>
          <w:szCs w:val="20"/>
        </w:rPr>
        <w:t>But the details of what the particular procedure will be like are often not well known in advance, and in no area are these uncertainties greater than in the procedure the tribunal will adopt for the most important phase of fact-finding in IP and other disputes: disclosure and discovery – that is, the exchange among the parties of relevant documentary and testimonial evidence that can be used to build, or confirm, the legal arguments in the case.</w:t>
      </w:r>
      <w:r w:rsidRPr="008B0677">
        <w:rPr>
          <w:rFonts w:ascii="BemboStd" w:eastAsia="Times New Roman" w:hAnsi="BemboStd" w:cs="Times New Roman"/>
          <w:position w:val="6"/>
          <w:sz w:val="12"/>
          <w:szCs w:val="12"/>
        </w:rPr>
        <w:t xml:space="preserve">3 </w:t>
      </w:r>
    </w:p>
    <w:p w14:paraId="231C8AD7" w14:textId="77777777" w:rsidR="008B0677" w:rsidRPr="008B0677" w:rsidRDefault="008B0677" w:rsidP="008B0677">
      <w:pPr>
        <w:numPr>
          <w:ilvl w:val="0"/>
          <w:numId w:val="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  Alexander</w:t>
      </w:r>
      <w:proofErr w:type="gram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Blumrosen</w:t>
      </w:r>
      <w:proofErr w:type="spellEnd"/>
      <w:r w:rsidRPr="008B0677">
        <w:rPr>
          <w:rFonts w:ascii="BemboStd" w:eastAsia="Times New Roman" w:hAnsi="BemboStd" w:cs="Times New Roman"/>
          <w:sz w:val="16"/>
          <w:szCs w:val="16"/>
        </w:rPr>
        <w:t xml:space="preserve"> is a partner at Polaris Law. Nour El Ghadban assisted with research for this chapter. </w:t>
      </w:r>
    </w:p>
    <w:p w14:paraId="19072869" w14:textId="77777777" w:rsidR="008B0677" w:rsidRPr="008B0677" w:rsidRDefault="008B0677" w:rsidP="008B0677">
      <w:pPr>
        <w:numPr>
          <w:ilvl w:val="0"/>
          <w:numId w:val="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  The</w:t>
      </w:r>
      <w:proofErr w:type="gramEnd"/>
      <w:r w:rsidRPr="008B0677">
        <w:rPr>
          <w:rFonts w:ascii="BemboStd" w:eastAsia="Times New Roman" w:hAnsi="BemboStd" w:cs="Times New Roman"/>
          <w:sz w:val="16"/>
          <w:szCs w:val="16"/>
        </w:rPr>
        <w:t xml:space="preserve"> Convention on the Recognition and Enforcement of Foreign Arbitral Awards, also known as the New </w:t>
      </w:r>
    </w:p>
    <w:p w14:paraId="42A5F081"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York Convention, United </w:t>
      </w:r>
      <w:proofErr w:type="spellStart"/>
      <w:proofErr w:type="gramStart"/>
      <w:r w:rsidRPr="008B0677">
        <w:rPr>
          <w:rFonts w:ascii="BemboStd" w:eastAsia="Times New Roman" w:hAnsi="BemboStd" w:cs="Times New Roman"/>
          <w:sz w:val="16"/>
          <w:szCs w:val="16"/>
        </w:rPr>
        <w:t>Nations,Treaty</w:t>
      </w:r>
      <w:proofErr w:type="spellEnd"/>
      <w:proofErr w:type="gramEnd"/>
      <w:r w:rsidRPr="008B0677">
        <w:rPr>
          <w:rFonts w:ascii="BemboStd" w:eastAsia="Times New Roman" w:hAnsi="BemboStd" w:cs="Times New Roman"/>
          <w:sz w:val="16"/>
          <w:szCs w:val="16"/>
        </w:rPr>
        <w:t xml:space="preserve"> Series, 330 U.N.T.S. 3,Treaty No. 4739, 10 June 1958. </w:t>
      </w:r>
    </w:p>
    <w:p w14:paraId="73084CB7" w14:textId="77777777" w:rsidR="008B0677" w:rsidRPr="008B0677" w:rsidRDefault="008B0677" w:rsidP="008B0677">
      <w:pPr>
        <w:numPr>
          <w:ilvl w:val="0"/>
          <w:numId w:val="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  The</w:t>
      </w:r>
      <w:proofErr w:type="gramEnd"/>
      <w:r w:rsidRPr="008B0677">
        <w:rPr>
          <w:rFonts w:ascii="BemboStd" w:eastAsia="Times New Roman" w:hAnsi="BemboStd" w:cs="Times New Roman"/>
          <w:sz w:val="16"/>
          <w:szCs w:val="16"/>
        </w:rPr>
        <w:t xml:space="preserve"> process by which an arbitration tribunal or a court may </w:t>
      </w:r>
      <w:proofErr w:type="spellStart"/>
      <w:r w:rsidRPr="008B0677">
        <w:rPr>
          <w:rFonts w:ascii="BemboStd" w:eastAsia="Times New Roman" w:hAnsi="BemboStd" w:cs="Times New Roman"/>
          <w:sz w:val="16"/>
          <w:szCs w:val="16"/>
        </w:rPr>
        <w:t>authorise</w:t>
      </w:r>
      <w:proofErr w:type="spellEnd"/>
      <w:r w:rsidRPr="008B0677">
        <w:rPr>
          <w:rFonts w:ascii="BemboStd" w:eastAsia="Times New Roman" w:hAnsi="BemboStd" w:cs="Times New Roman"/>
          <w:sz w:val="16"/>
          <w:szCs w:val="16"/>
        </w:rPr>
        <w:t xml:space="preserve"> parties to request particular documents </w:t>
      </w:r>
    </w:p>
    <w:p w14:paraId="2074101A"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or categories of documents from the other party, or from non-parties, is the process of </w:t>
      </w:r>
      <w:proofErr w:type="spellStart"/>
      <w:proofErr w:type="gramStart"/>
      <w:r w:rsidRPr="008B0677">
        <w:rPr>
          <w:rFonts w:ascii="BemboStd" w:eastAsia="Times New Roman" w:hAnsi="BemboStd" w:cs="Times New Roman"/>
          <w:sz w:val="16"/>
          <w:szCs w:val="16"/>
        </w:rPr>
        <w:t>disclosure.This</w:t>
      </w:r>
      <w:proofErr w:type="spellEnd"/>
      <w:proofErr w:type="gramEnd"/>
      <w:r w:rsidRPr="008B0677">
        <w:rPr>
          <w:rFonts w:ascii="BemboStd" w:eastAsia="Times New Roman" w:hAnsi="BemboStd" w:cs="Times New Roman"/>
          <w:sz w:val="16"/>
          <w:szCs w:val="16"/>
        </w:rPr>
        <w:t xml:space="preserve"> procedure is called ‘discovery’ in American court litigation owing to the broad scope of requests that are permitted by law, and that may be effectively enforced against a party. Disclosure in arbitration has traditionally been far more limited in scope, requiring specific and tailored requests for </w:t>
      </w:r>
      <w:proofErr w:type="gramStart"/>
      <w:r w:rsidRPr="008B0677">
        <w:rPr>
          <w:rFonts w:ascii="BemboStd" w:eastAsia="Times New Roman" w:hAnsi="BemboStd" w:cs="Times New Roman"/>
          <w:sz w:val="16"/>
          <w:szCs w:val="16"/>
        </w:rPr>
        <w:t>particular documents</w:t>
      </w:r>
      <w:proofErr w:type="gramEnd"/>
      <w:r w:rsidRPr="008B0677">
        <w:rPr>
          <w:rFonts w:ascii="BemboStd" w:eastAsia="Times New Roman" w:hAnsi="BemboStd" w:cs="Times New Roman"/>
          <w:sz w:val="16"/>
          <w:szCs w:val="16"/>
        </w:rPr>
        <w:t xml:space="preserve"> or categories of documents relevant to the dispute and not otherwise available. See IBA 2010 </w:t>
      </w:r>
      <w:proofErr w:type="spellStart"/>
      <w:proofErr w:type="gramStart"/>
      <w:r w:rsidRPr="008B0677">
        <w:rPr>
          <w:rFonts w:ascii="BemboStd" w:eastAsia="Times New Roman" w:hAnsi="BemboStd" w:cs="Times New Roman"/>
          <w:sz w:val="16"/>
          <w:szCs w:val="16"/>
        </w:rPr>
        <w:t>Rules,‘</w:t>
      </w:r>
      <w:proofErr w:type="gramEnd"/>
      <w:r w:rsidRPr="008B0677">
        <w:rPr>
          <w:rFonts w:ascii="BemboStd" w:eastAsia="Times New Roman" w:hAnsi="BemboStd" w:cs="Times New Roman"/>
          <w:sz w:val="16"/>
          <w:szCs w:val="16"/>
        </w:rPr>
        <w:t>A</w:t>
      </w:r>
      <w:proofErr w:type="spellEnd"/>
      <w:r w:rsidRPr="008B0677">
        <w:rPr>
          <w:rFonts w:ascii="BemboStd" w:eastAsia="Times New Roman" w:hAnsi="BemboStd" w:cs="Times New Roman"/>
          <w:sz w:val="16"/>
          <w:szCs w:val="16"/>
        </w:rPr>
        <w:t xml:space="preserve"> Request to</w:t>
      </w:r>
      <w:r w:rsidRPr="008B0677">
        <w:rPr>
          <w:rFonts w:ascii="BemboStd" w:eastAsia="Times New Roman" w:hAnsi="BemboStd" w:cs="Times New Roman"/>
          <w:sz w:val="16"/>
          <w:szCs w:val="16"/>
        </w:rPr>
        <w:br/>
        <w:t xml:space="preserve">Produce shall contain [. . .] a description in sufficient detail (including subject matter) of a narrow and specific requested category of Documents [and] how the Documents requested are relevant to the case and material to its outcome . . .’ (Article 3) (https://www.ibanet.org/Publications/publications_IBA_guides_and_free_ materials.aspx#collapse3). By contrast, the broad scope of US discovery is defined in the Federal Rules of Civil Procedure </w:t>
      </w:r>
      <w:proofErr w:type="spellStart"/>
      <w:proofErr w:type="gramStart"/>
      <w:r w:rsidRPr="008B0677">
        <w:rPr>
          <w:rFonts w:ascii="BemboStd" w:eastAsia="Times New Roman" w:hAnsi="BemboStd" w:cs="Times New Roman"/>
          <w:sz w:val="16"/>
          <w:szCs w:val="16"/>
        </w:rPr>
        <w:t>as,‘</w:t>
      </w:r>
      <w:proofErr w:type="gramEnd"/>
      <w:r w:rsidRPr="008B0677">
        <w:rPr>
          <w:rFonts w:ascii="BemboStd" w:eastAsia="Times New Roman" w:hAnsi="BemboStd" w:cs="Times New Roman"/>
          <w:sz w:val="16"/>
          <w:szCs w:val="16"/>
        </w:rPr>
        <w:t>any</w:t>
      </w:r>
      <w:proofErr w:type="spellEnd"/>
      <w:r w:rsidRPr="008B0677">
        <w:rPr>
          <w:rFonts w:ascii="BemboStd" w:eastAsia="Times New Roman" w:hAnsi="BemboStd" w:cs="Times New Roman"/>
          <w:sz w:val="16"/>
          <w:szCs w:val="16"/>
        </w:rPr>
        <w:t xml:space="preserve"> nonprivileged matter that is relevant to any party’s claim or defense and proportional to the needs of the case, considering the importance of the issues at stake in the action, the amount in controversy, the parties’ relative access to relevant information, the parties’ resources, the importance of the </w:t>
      </w:r>
    </w:p>
    <w:p w14:paraId="1F9A8698"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89 </w:t>
      </w:r>
    </w:p>
    <w:p w14:paraId="062A4432" w14:textId="129B7627"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lastRenderedPageBreak/>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"/var/folders/3y/yz0s3nns5879wt_b0sx_g3rr0000gn/T/com.microsoft.Word/WebArchiveCopyPasteTempFiles/page9image26070592"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4A2623D7" wp14:editId="4A1B410D">
            <wp:extent cx="901700" cy="2743200"/>
            <wp:effectExtent l="0" t="0" r="0" b="0"/>
            <wp:docPr id="12" name="Picture 12" descr="page9image2607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9image2607059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1E86F6E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3AB9B881"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01E8117F"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In part, these uncertainties stem from the great cultural variety of arbitrators, as each arbitrator brings his or her own legal culture to the process of establishing an arbitral fact-finding procedure that will apply to all </w:t>
      </w:r>
      <w:proofErr w:type="spellStart"/>
      <w:r w:rsidRPr="008B0677">
        <w:rPr>
          <w:rFonts w:ascii="BemboStd" w:eastAsia="Times New Roman" w:hAnsi="BemboStd" w:cs="Times New Roman"/>
          <w:sz w:val="20"/>
          <w:szCs w:val="20"/>
        </w:rPr>
        <w:t>parties.Arbitrators</w:t>
      </w:r>
      <w:proofErr w:type="spellEnd"/>
      <w:r w:rsidRPr="008B0677">
        <w:rPr>
          <w:rFonts w:ascii="BemboStd" w:eastAsia="Times New Roman" w:hAnsi="BemboStd" w:cs="Times New Roman"/>
          <w:sz w:val="20"/>
          <w:szCs w:val="20"/>
        </w:rPr>
        <w:t xml:space="preserve"> trained in common law will have more familiarity with document discovery and depositions, and will expect parties to use available tools to develop and refine their arguments; arbitrators from civil law traditions will have less familiarity with disclosure tools, and may see a party’s recourse to them as a sign that the party’s claim is as yet unsupported by available evidence, or worse, unfounded. </w:t>
      </w:r>
    </w:p>
    <w:p w14:paraId="3EF3E671"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However, the uncertainties also derive from a historical lack of procedural rules for this phase of the arbitration. In 1999, the IBA adopted the Rules on the Taking of Evidence in International Arbitration,</w:t>
      </w:r>
      <w:r w:rsidRPr="008B0677">
        <w:rPr>
          <w:rFonts w:ascii="BemboStd" w:eastAsia="Times New Roman" w:hAnsi="BemboStd" w:cs="Times New Roman"/>
          <w:position w:val="6"/>
          <w:sz w:val="12"/>
          <w:szCs w:val="12"/>
        </w:rPr>
        <w:t xml:space="preserve">4 </w:t>
      </w:r>
      <w:r w:rsidRPr="008B0677">
        <w:rPr>
          <w:rFonts w:ascii="BemboStd" w:eastAsia="Times New Roman" w:hAnsi="BemboStd" w:cs="Times New Roman"/>
          <w:sz w:val="20"/>
          <w:szCs w:val="20"/>
        </w:rPr>
        <w:t>in a quite successful attempt to bridge the gap between com- mon and civil law traditions in disclosure. Other institutions and actors contributed to rules and guidance that can frame the disclosure procedure.</w:t>
      </w:r>
      <w:r w:rsidRPr="008B0677">
        <w:rPr>
          <w:rFonts w:ascii="BemboStd" w:eastAsia="Times New Roman" w:hAnsi="BemboStd" w:cs="Times New Roman"/>
          <w:position w:val="6"/>
          <w:sz w:val="12"/>
          <w:szCs w:val="12"/>
        </w:rPr>
        <w:t xml:space="preserve">5 </w:t>
      </w:r>
    </w:p>
    <w:p w14:paraId="2DDC447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Even with this guidance, tribunals and parties are often left to their own devices to adopt the disclosure process that will be best suited to their dispute, and this should be seen as one of the advantages of arbitration: the ability to fashion procedural rules tailored to the needs of the dispute and reflecting the backgrounds of the </w:t>
      </w:r>
      <w:proofErr w:type="spellStart"/>
      <w:r w:rsidRPr="008B0677">
        <w:rPr>
          <w:rFonts w:ascii="BemboStd" w:eastAsia="Times New Roman" w:hAnsi="BemboStd" w:cs="Times New Roman"/>
          <w:sz w:val="20"/>
          <w:szCs w:val="20"/>
        </w:rPr>
        <w:t>participants.And</w:t>
      </w:r>
      <w:proofErr w:type="spellEnd"/>
      <w:r w:rsidRPr="008B0677">
        <w:rPr>
          <w:rFonts w:ascii="BemboStd" w:eastAsia="Times New Roman" w:hAnsi="BemboStd" w:cs="Times New Roman"/>
          <w:sz w:val="20"/>
          <w:szCs w:val="20"/>
        </w:rPr>
        <w:t xml:space="preserve"> nowhere is such flexibility welcome as much as in IP arbitration, where issues of confidentiality, privilege and trade secrecy are often asserted to limit the </w:t>
      </w:r>
      <w:proofErr w:type="spellStart"/>
      <w:r w:rsidRPr="008B0677">
        <w:rPr>
          <w:rFonts w:ascii="BemboStd" w:eastAsia="Times New Roman" w:hAnsi="BemboStd" w:cs="Times New Roman"/>
          <w:sz w:val="20"/>
          <w:szCs w:val="20"/>
        </w:rPr>
        <w:t>organised</w:t>
      </w:r>
      <w:proofErr w:type="spellEnd"/>
      <w:r w:rsidRPr="008B0677">
        <w:rPr>
          <w:rFonts w:ascii="BemboStd" w:eastAsia="Times New Roman" w:hAnsi="BemboStd" w:cs="Times New Roman"/>
          <w:sz w:val="20"/>
          <w:szCs w:val="20"/>
        </w:rPr>
        <w:t xml:space="preserve"> exchange of documents and testimony. </w:t>
      </w:r>
    </w:p>
    <w:p w14:paraId="763B315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The arbitral tribunal has wide latitude in setting procedural rules for disclosure. In ICC arbitration, for example, the Rules provide that the ‘arbitral tribunal shall proceed within as short a time as possible to establish the facts of the case by all appropriate means’.</w:t>
      </w:r>
      <w:r w:rsidRPr="008B0677">
        <w:rPr>
          <w:rFonts w:ascii="BemboStd" w:eastAsia="Times New Roman" w:hAnsi="BemboStd" w:cs="Times New Roman"/>
          <w:position w:val="6"/>
          <w:sz w:val="12"/>
          <w:szCs w:val="12"/>
        </w:rPr>
        <w:t xml:space="preserve">6 </w:t>
      </w:r>
    </w:p>
    <w:p w14:paraId="57DFD11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But their discretion is not </w:t>
      </w:r>
      <w:proofErr w:type="spellStart"/>
      <w:proofErr w:type="gramStart"/>
      <w:r w:rsidRPr="008B0677">
        <w:rPr>
          <w:rFonts w:ascii="BemboStd" w:eastAsia="Times New Roman" w:hAnsi="BemboStd" w:cs="Times New Roman"/>
          <w:sz w:val="20"/>
          <w:szCs w:val="20"/>
        </w:rPr>
        <w:t>complete.The</w:t>
      </w:r>
      <w:proofErr w:type="spellEnd"/>
      <w:proofErr w:type="gramEnd"/>
      <w:r w:rsidRPr="008B0677">
        <w:rPr>
          <w:rFonts w:ascii="BemboStd" w:eastAsia="Times New Roman" w:hAnsi="BemboStd" w:cs="Times New Roman"/>
          <w:sz w:val="20"/>
          <w:szCs w:val="20"/>
        </w:rPr>
        <w:t xml:space="preserve"> rules must adhere to the principles of due process set out in the New York Convention, or else the ultimate arbitration award could risk annulment by a party dissatisfied with the outcome.</w:t>
      </w:r>
      <w:r w:rsidRPr="008B0677">
        <w:rPr>
          <w:rFonts w:ascii="BemboStd" w:eastAsia="Times New Roman" w:hAnsi="BemboStd" w:cs="Times New Roman"/>
          <w:position w:val="6"/>
          <w:sz w:val="12"/>
          <w:szCs w:val="12"/>
        </w:rPr>
        <w:t xml:space="preserve">7 </w:t>
      </w:r>
      <w:r w:rsidRPr="008B0677">
        <w:rPr>
          <w:rFonts w:ascii="BemboStd" w:eastAsia="Times New Roman" w:hAnsi="BemboStd" w:cs="Times New Roman"/>
          <w:sz w:val="20"/>
          <w:szCs w:val="20"/>
        </w:rPr>
        <w:t xml:space="preserve">Accordingly, setting the rules of </w:t>
      </w:r>
    </w:p>
    <w:p w14:paraId="4064F8C2"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discovery in resolving the issues, and whether the burden or expense of the proposed discovery outweighs its likely benefit.’ (</w:t>
      </w:r>
      <w:proofErr w:type="spellStart"/>
      <w:proofErr w:type="gramStart"/>
      <w:r w:rsidRPr="008B0677">
        <w:rPr>
          <w:rFonts w:ascii="BemboStd" w:eastAsia="Times New Roman" w:hAnsi="BemboStd" w:cs="Times New Roman"/>
          <w:sz w:val="16"/>
          <w:szCs w:val="16"/>
        </w:rPr>
        <w:t>FRCP,Article</w:t>
      </w:r>
      <w:proofErr w:type="spellEnd"/>
      <w:proofErr w:type="gramEnd"/>
      <w:r w:rsidRPr="008B0677">
        <w:rPr>
          <w:rFonts w:ascii="BemboStd" w:eastAsia="Times New Roman" w:hAnsi="BemboStd" w:cs="Times New Roman"/>
          <w:sz w:val="16"/>
          <w:szCs w:val="16"/>
        </w:rPr>
        <w:t xml:space="preserve"> 26(b)(1).The two terms are used interchangeably in this chapter, with the caveat that discovery in arbitration is more limited than in US court litigation, to distinguish the fact-finding process on the merits of a dispute from the mandatory arbitrator disclosures of conflicts of interest during arbitrator selection. </w:t>
      </w:r>
    </w:p>
    <w:p w14:paraId="7CA7F40E" w14:textId="77777777" w:rsidR="008B0677" w:rsidRPr="008B0677" w:rsidRDefault="008B0677" w:rsidP="008B0677">
      <w:pPr>
        <w:numPr>
          <w:ilvl w:val="0"/>
          <w:numId w:val="2"/>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lastRenderedPageBreak/>
        <w:t>4  The</w:t>
      </w:r>
      <w:proofErr w:type="gramEnd"/>
      <w:r w:rsidRPr="008B0677">
        <w:rPr>
          <w:rFonts w:ascii="BemboStd" w:eastAsia="Times New Roman" w:hAnsi="BemboStd" w:cs="Times New Roman"/>
          <w:sz w:val="16"/>
          <w:szCs w:val="16"/>
        </w:rPr>
        <w:t xml:space="preserve"> original 1999 Rules were updated in 2010 (hereafter, the IBA Rules), https://www.ibanet.org/ Publications/publications_IBA_guides_and_free_materials.aspx#collapse3. See also, Commentary on the revised text of the 2010 IBA Rules on the Taking of Evidence in International Arbitration (2013), IBA Working Party, https://www.ibanet.org/Document/Default.aspx?DocumentUid=DD240932-0E08-40D4- 9866-309A635487C0 (hereafter, the Commentary on the IBA Rules). </w:t>
      </w:r>
    </w:p>
    <w:p w14:paraId="524AA529" w14:textId="77777777" w:rsidR="008B0677" w:rsidRPr="008B0677" w:rsidRDefault="008B0677" w:rsidP="008B0677">
      <w:pPr>
        <w:numPr>
          <w:ilvl w:val="0"/>
          <w:numId w:val="2"/>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5  See</w:t>
      </w:r>
      <w:proofErr w:type="gramEnd"/>
      <w:r w:rsidRPr="008B0677">
        <w:rPr>
          <w:rFonts w:ascii="BemboStd" w:eastAsia="Times New Roman" w:hAnsi="BemboStd" w:cs="Times New Roman"/>
          <w:sz w:val="16"/>
          <w:szCs w:val="16"/>
        </w:rPr>
        <w:t xml:space="preserve">, e.g., Rules on the Efficient Conduct of Proceedings in International Arbitration (the Prague Rules) (2018), https://praguerules.com/prague_rules/ (proposing a more inquisitorial approach with the arbitral tribunal taking a more active role). </w:t>
      </w:r>
    </w:p>
    <w:p w14:paraId="14AEFB47" w14:textId="77777777" w:rsidR="008B0677" w:rsidRPr="008B0677" w:rsidRDefault="008B0677" w:rsidP="008B0677">
      <w:pPr>
        <w:numPr>
          <w:ilvl w:val="0"/>
          <w:numId w:val="2"/>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6  ICC</w:t>
      </w:r>
      <w:proofErr w:type="gramEnd"/>
      <w:r w:rsidRPr="008B0677">
        <w:rPr>
          <w:rFonts w:ascii="BemboStd" w:eastAsia="Times New Roman" w:hAnsi="BemboStd" w:cs="Times New Roman"/>
          <w:sz w:val="16"/>
          <w:szCs w:val="16"/>
        </w:rPr>
        <w:t xml:space="preserve"> Arbitration Rules (2017), Article 25(1). </w:t>
      </w:r>
    </w:p>
    <w:p w14:paraId="17EA7D0E" w14:textId="77777777" w:rsidR="008B0677" w:rsidRPr="008B0677" w:rsidRDefault="008B0677" w:rsidP="008B0677">
      <w:pPr>
        <w:numPr>
          <w:ilvl w:val="0"/>
          <w:numId w:val="2"/>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7  See</w:t>
      </w:r>
      <w:proofErr w:type="gramEnd"/>
      <w:r w:rsidRPr="008B0677">
        <w:rPr>
          <w:rFonts w:ascii="BemboStd" w:eastAsia="Times New Roman" w:hAnsi="BemboStd" w:cs="Times New Roman"/>
          <w:sz w:val="16"/>
          <w:szCs w:val="16"/>
        </w:rPr>
        <w:t xml:space="preserve">, </w:t>
      </w:r>
      <w:r w:rsidRPr="008B0677">
        <w:rPr>
          <w:rFonts w:ascii="BemboStd" w:eastAsia="Times New Roman" w:hAnsi="BemboStd" w:cs="Times New Roman"/>
          <w:i/>
          <w:iCs/>
          <w:sz w:val="16"/>
          <w:szCs w:val="16"/>
        </w:rPr>
        <w:t xml:space="preserve">Celtic Bioenergy Ltd v. Knowles Ltd </w:t>
      </w:r>
      <w:r w:rsidRPr="008B0677">
        <w:rPr>
          <w:rFonts w:ascii="BemboStd" w:eastAsia="Times New Roman" w:hAnsi="BemboStd" w:cs="Times New Roman"/>
          <w:sz w:val="16"/>
          <w:szCs w:val="16"/>
        </w:rPr>
        <w:t xml:space="preserve">[2017] EWHC 472 (TCC); </w:t>
      </w:r>
      <w:r w:rsidRPr="008B0677">
        <w:rPr>
          <w:rFonts w:ascii="BemboStd" w:eastAsia="Times New Roman" w:hAnsi="BemboStd" w:cs="Times New Roman"/>
          <w:i/>
          <w:iCs/>
          <w:sz w:val="16"/>
          <w:szCs w:val="16"/>
        </w:rPr>
        <w:t>Fraport v. Philippines</w:t>
      </w:r>
      <w:r w:rsidRPr="008B0677">
        <w:rPr>
          <w:rFonts w:ascii="BemboStd" w:eastAsia="Times New Roman" w:hAnsi="BemboStd" w:cs="Times New Roman"/>
          <w:sz w:val="16"/>
          <w:szCs w:val="16"/>
        </w:rPr>
        <w:t xml:space="preserve">, ICSID Case No. </w:t>
      </w:r>
    </w:p>
    <w:p w14:paraId="19CC46A6"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ARB/03/25, Annulment Decision (Dec. 23, 2010) Paras. 200, 202; see also, </w:t>
      </w:r>
      <w:r w:rsidRPr="008B0677">
        <w:rPr>
          <w:rFonts w:ascii="BemboStd" w:eastAsia="Times New Roman" w:hAnsi="BemboStd" w:cs="Times New Roman"/>
          <w:i/>
          <w:iCs/>
          <w:sz w:val="16"/>
          <w:szCs w:val="16"/>
        </w:rPr>
        <w:t>Hooters of America, Inc. v. Phillips</w:t>
      </w:r>
      <w:r w:rsidRPr="008B0677">
        <w:rPr>
          <w:rFonts w:ascii="BemboStd" w:eastAsia="Times New Roman" w:hAnsi="BemboStd" w:cs="Times New Roman"/>
          <w:sz w:val="16"/>
          <w:szCs w:val="16"/>
        </w:rPr>
        <w:t xml:space="preserve">, 173 F.3d 933 (4th Cir. 1999) (court invalidated the arbitration clause due to severe discovery limits and other unfair procedures violative of due process in a ‘sham’ arbitration). But see </w:t>
      </w:r>
      <w:r w:rsidRPr="008B0677">
        <w:rPr>
          <w:rFonts w:ascii="BemboStd" w:eastAsia="Times New Roman" w:hAnsi="BemboStd" w:cs="Times New Roman"/>
          <w:i/>
          <w:iCs/>
          <w:sz w:val="16"/>
          <w:szCs w:val="16"/>
        </w:rPr>
        <w:t xml:space="preserve">Bromley Park Garden Estate Ltd v. </w:t>
      </w:r>
      <w:proofErr w:type="spellStart"/>
      <w:r w:rsidRPr="008B0677">
        <w:rPr>
          <w:rFonts w:ascii="BemboStd" w:eastAsia="Times New Roman" w:hAnsi="BemboStd" w:cs="Times New Roman"/>
          <w:i/>
          <w:iCs/>
          <w:sz w:val="16"/>
          <w:szCs w:val="16"/>
        </w:rPr>
        <w:t>Mallen</w:t>
      </w:r>
      <w:proofErr w:type="spellEnd"/>
      <w:r w:rsidRPr="008B0677">
        <w:rPr>
          <w:rFonts w:ascii="BemboStd" w:eastAsia="Times New Roman" w:hAnsi="BemboStd" w:cs="Times New Roman"/>
          <w:i/>
          <w:iCs/>
          <w:sz w:val="16"/>
          <w:szCs w:val="16"/>
        </w:rPr>
        <w:t xml:space="preserve"> </w:t>
      </w:r>
      <w:r w:rsidRPr="008B0677">
        <w:rPr>
          <w:rFonts w:ascii="BemboStd" w:eastAsia="Times New Roman" w:hAnsi="BemboStd" w:cs="Times New Roman"/>
          <w:sz w:val="16"/>
          <w:szCs w:val="16"/>
        </w:rPr>
        <w:t xml:space="preserve">[2009] EWHC 609 (refusing to order a party’s surveyor to disclose the documents requested by the other party’s surveyor does not violate due process). </w:t>
      </w:r>
    </w:p>
    <w:p w14:paraId="4CBF097F"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90 </w:t>
      </w:r>
    </w:p>
    <w:p w14:paraId="57DC3A02" w14:textId="4003A6B4"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"/var/folders/3y/yz0s3nns5879wt_b0sx_g3rr0000gn/T/com.microsoft.Word/WebArchiveCopyPasteTempFiles/page10image26094272"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3439D502" wp14:editId="6BE15EED">
            <wp:extent cx="914400" cy="2743200"/>
            <wp:effectExtent l="0" t="0" r="0" b="0"/>
            <wp:docPr id="11" name="Picture 11" descr="page10image2609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10image260942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36AA35A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3AD8C96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29B2E1FD"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disclosure, and ensuring compliance, becomes indissociable from the tribunal’s mission to reach a valid and enforceable </w:t>
      </w:r>
      <w:proofErr w:type="spellStart"/>
      <w:proofErr w:type="gramStart"/>
      <w:r w:rsidRPr="008B0677">
        <w:rPr>
          <w:rFonts w:ascii="BemboStd" w:eastAsia="Times New Roman" w:hAnsi="BemboStd" w:cs="Times New Roman"/>
          <w:sz w:val="20"/>
          <w:szCs w:val="20"/>
        </w:rPr>
        <w:t>award.These</w:t>
      </w:r>
      <w:proofErr w:type="spellEnd"/>
      <w:proofErr w:type="gramEnd"/>
      <w:r w:rsidRPr="008B0677">
        <w:rPr>
          <w:rFonts w:ascii="BemboStd" w:eastAsia="Times New Roman" w:hAnsi="BemboStd" w:cs="Times New Roman"/>
          <w:sz w:val="20"/>
          <w:szCs w:val="20"/>
        </w:rPr>
        <w:t xml:space="preserve"> uncertainties should be addressed early on by the tribunals to avoid such later risks. </w:t>
      </w:r>
    </w:p>
    <w:p w14:paraId="4E94668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Certain procedural aspects of arbitration are fairly settled now, with the help of </w:t>
      </w:r>
      <w:proofErr w:type="spellStart"/>
      <w:r w:rsidRPr="008B0677">
        <w:rPr>
          <w:rFonts w:ascii="BemboStd" w:eastAsia="Times New Roman" w:hAnsi="BemboStd" w:cs="Times New Roman"/>
          <w:sz w:val="20"/>
          <w:szCs w:val="20"/>
        </w:rPr>
        <w:t>guid</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ance</w:t>
      </w:r>
      <w:proofErr w:type="spellEnd"/>
      <w:r w:rsidRPr="008B0677">
        <w:rPr>
          <w:rFonts w:ascii="BemboStd" w:eastAsia="Times New Roman" w:hAnsi="BemboStd" w:cs="Times New Roman"/>
          <w:sz w:val="20"/>
          <w:szCs w:val="20"/>
        </w:rPr>
        <w:t xml:space="preserve"> and enforcement decisions. It is common, for example, for parties to exchange their requests for documents through the use of ‘Redfern schedules’,</w:t>
      </w:r>
      <w:r w:rsidRPr="008B0677">
        <w:rPr>
          <w:rFonts w:ascii="BemboStd" w:eastAsia="Times New Roman" w:hAnsi="BemboStd" w:cs="Times New Roman"/>
          <w:position w:val="6"/>
          <w:sz w:val="12"/>
          <w:szCs w:val="12"/>
        </w:rPr>
        <w:t xml:space="preserve">8 </w:t>
      </w:r>
      <w:r w:rsidRPr="008B0677">
        <w:rPr>
          <w:rFonts w:ascii="BemboStd" w:eastAsia="Times New Roman" w:hAnsi="BemboStd" w:cs="Times New Roman"/>
          <w:sz w:val="20"/>
          <w:szCs w:val="20"/>
        </w:rPr>
        <w:t xml:space="preserve">which identify for each request the document sought and its relevance to the </w:t>
      </w:r>
      <w:proofErr w:type="spellStart"/>
      <w:proofErr w:type="gramStart"/>
      <w:r w:rsidRPr="008B0677">
        <w:rPr>
          <w:rFonts w:ascii="BemboStd" w:eastAsia="Times New Roman" w:hAnsi="BemboStd" w:cs="Times New Roman"/>
          <w:sz w:val="20"/>
          <w:szCs w:val="20"/>
        </w:rPr>
        <w:t>dispute.This</w:t>
      </w:r>
      <w:proofErr w:type="spellEnd"/>
      <w:proofErr w:type="gramEnd"/>
      <w:r w:rsidRPr="008B0677">
        <w:rPr>
          <w:rFonts w:ascii="BemboStd" w:eastAsia="Times New Roman" w:hAnsi="BemboStd" w:cs="Times New Roman"/>
          <w:sz w:val="20"/>
          <w:szCs w:val="20"/>
        </w:rPr>
        <w:t xml:space="preserve"> is a handy and efficient way of narrowing disclosure disputes so that the tribunal may rule on unresolved matters or dispensing with witness depositions in </w:t>
      </w:r>
      <w:proofErr w:type="spellStart"/>
      <w:r w:rsidRPr="008B0677">
        <w:rPr>
          <w:rFonts w:ascii="BemboStd" w:eastAsia="Times New Roman" w:hAnsi="BemboStd" w:cs="Times New Roman"/>
          <w:sz w:val="20"/>
          <w:szCs w:val="20"/>
        </w:rPr>
        <w:t>favour</w:t>
      </w:r>
      <w:proofErr w:type="spellEnd"/>
      <w:r w:rsidRPr="008B0677">
        <w:rPr>
          <w:rFonts w:ascii="BemboStd" w:eastAsia="Times New Roman" w:hAnsi="BemboStd" w:cs="Times New Roman"/>
          <w:sz w:val="20"/>
          <w:szCs w:val="20"/>
        </w:rPr>
        <w:t xml:space="preserve"> of witness hearings before the tribunal. </w:t>
      </w:r>
    </w:p>
    <w:p w14:paraId="2E2E04B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But in the following areas there is still uncertainty and, therefore, risk, including a risk that the award may not survive in post-award court </w:t>
      </w:r>
      <w:proofErr w:type="spellStart"/>
      <w:proofErr w:type="gramStart"/>
      <w:r w:rsidRPr="008B0677">
        <w:rPr>
          <w:rFonts w:ascii="BemboStd" w:eastAsia="Times New Roman" w:hAnsi="BemboStd" w:cs="Times New Roman"/>
          <w:sz w:val="20"/>
          <w:szCs w:val="20"/>
        </w:rPr>
        <w:t>proceedings.This</w:t>
      </w:r>
      <w:proofErr w:type="spellEnd"/>
      <w:proofErr w:type="gramEnd"/>
      <w:r w:rsidRPr="008B0677">
        <w:rPr>
          <w:rFonts w:ascii="BemboStd" w:eastAsia="Times New Roman" w:hAnsi="BemboStd" w:cs="Times New Roman"/>
          <w:sz w:val="20"/>
          <w:szCs w:val="20"/>
        </w:rPr>
        <w:t xml:space="preserve"> chapter will focus, in particular, on (1) privilege as a bar to disclosure, (2) recourse to national courts for </w:t>
      </w:r>
      <w:proofErr w:type="spellStart"/>
      <w:r w:rsidRPr="008B0677">
        <w:rPr>
          <w:rFonts w:ascii="BemboStd" w:eastAsia="Times New Roman" w:hAnsi="BemboStd" w:cs="Times New Roman"/>
          <w:sz w:val="20"/>
          <w:szCs w:val="20"/>
        </w:rPr>
        <w:t>assis</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tance</w:t>
      </w:r>
      <w:proofErr w:type="spellEnd"/>
      <w:r w:rsidRPr="008B0677">
        <w:rPr>
          <w:rFonts w:ascii="BemboStd" w:eastAsia="Times New Roman" w:hAnsi="BemboStd" w:cs="Times New Roman"/>
          <w:sz w:val="20"/>
          <w:szCs w:val="20"/>
        </w:rPr>
        <w:t xml:space="preserve"> in obtaining disclosure and (3) compliance with the EU General Data Protection Regulation (GDPR) in arbitration discovery. </w:t>
      </w:r>
    </w:p>
    <w:p w14:paraId="36769DE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rPr>
        <w:lastRenderedPageBreak/>
        <w:t xml:space="preserve">Privilege as a bar to disclosure </w:t>
      </w:r>
    </w:p>
    <w:p w14:paraId="7F941861"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Whichever rules are adopted to guide disclosure, the process may be blocked if the </w:t>
      </w:r>
      <w:proofErr w:type="spellStart"/>
      <w:r w:rsidRPr="008B0677">
        <w:rPr>
          <w:rFonts w:ascii="BemboStd" w:eastAsia="Times New Roman" w:hAnsi="BemboStd" w:cs="Times New Roman"/>
          <w:sz w:val="20"/>
          <w:szCs w:val="20"/>
        </w:rPr>
        <w:t>produc</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ing</w:t>
      </w:r>
      <w:proofErr w:type="spellEnd"/>
      <w:r w:rsidRPr="008B0677">
        <w:rPr>
          <w:rFonts w:ascii="BemboStd" w:eastAsia="Times New Roman" w:hAnsi="BemboStd" w:cs="Times New Roman"/>
          <w:sz w:val="20"/>
          <w:szCs w:val="20"/>
        </w:rPr>
        <w:t xml:space="preserve"> party can validly invoke legal privilege, such as attorney–client privilege, to prevent pro- duction. But which privilege? Since 2010, confusion has reigned over which legal counsel is covered by attorney–client </w:t>
      </w:r>
      <w:proofErr w:type="spellStart"/>
      <w:proofErr w:type="gramStart"/>
      <w:r w:rsidRPr="008B0677">
        <w:rPr>
          <w:rFonts w:ascii="BemboStd" w:eastAsia="Times New Roman" w:hAnsi="BemboStd" w:cs="Times New Roman"/>
          <w:sz w:val="20"/>
          <w:szCs w:val="20"/>
        </w:rPr>
        <w:t>privilege.This</w:t>
      </w:r>
      <w:proofErr w:type="spellEnd"/>
      <w:proofErr w:type="gramEnd"/>
      <w:r w:rsidRPr="008B0677">
        <w:rPr>
          <w:rFonts w:ascii="BemboStd" w:eastAsia="Times New Roman" w:hAnsi="BemboStd" w:cs="Times New Roman"/>
          <w:sz w:val="20"/>
          <w:szCs w:val="20"/>
        </w:rPr>
        <w:t xml:space="preserve"> is particularly troubling in international </w:t>
      </w:r>
      <w:proofErr w:type="spellStart"/>
      <w:r w:rsidRPr="008B0677">
        <w:rPr>
          <w:rFonts w:ascii="BemboStd" w:eastAsia="Times New Roman" w:hAnsi="BemboStd" w:cs="Times New Roman"/>
          <w:sz w:val="20"/>
          <w:szCs w:val="20"/>
        </w:rPr>
        <w:t>arbi</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tration</w:t>
      </w:r>
      <w:proofErr w:type="spellEnd"/>
      <w:r w:rsidRPr="008B0677">
        <w:rPr>
          <w:rFonts w:ascii="BemboStd" w:eastAsia="Times New Roman" w:hAnsi="BemboStd" w:cs="Times New Roman"/>
          <w:sz w:val="20"/>
          <w:szCs w:val="20"/>
        </w:rPr>
        <w:t xml:space="preserve">, where counsel from diverse bars are allowed to </w:t>
      </w:r>
      <w:proofErr w:type="spellStart"/>
      <w:r w:rsidRPr="008B0677">
        <w:rPr>
          <w:rFonts w:ascii="BemboStd" w:eastAsia="Times New Roman" w:hAnsi="BemboStd" w:cs="Times New Roman"/>
          <w:sz w:val="20"/>
          <w:szCs w:val="20"/>
        </w:rPr>
        <w:t>practise</w:t>
      </w:r>
      <w:proofErr w:type="spellEnd"/>
      <w:r w:rsidRPr="008B0677">
        <w:rPr>
          <w:rFonts w:ascii="BemboStd" w:eastAsia="Times New Roman" w:hAnsi="BemboStd" w:cs="Times New Roman"/>
          <w:sz w:val="20"/>
          <w:szCs w:val="20"/>
        </w:rPr>
        <w:t xml:space="preserve">, leading to inconsistent and unsatisfactory </w:t>
      </w:r>
      <w:proofErr w:type="spellStart"/>
      <w:r w:rsidRPr="008B0677">
        <w:rPr>
          <w:rFonts w:ascii="BemboStd" w:eastAsia="Times New Roman" w:hAnsi="BemboStd" w:cs="Times New Roman"/>
          <w:sz w:val="20"/>
          <w:szCs w:val="20"/>
        </w:rPr>
        <w:t>results.This</w:t>
      </w:r>
      <w:proofErr w:type="spellEnd"/>
      <w:r w:rsidRPr="008B0677">
        <w:rPr>
          <w:rFonts w:ascii="BemboStd" w:eastAsia="Times New Roman" w:hAnsi="BemboStd" w:cs="Times New Roman"/>
          <w:sz w:val="20"/>
          <w:szCs w:val="20"/>
        </w:rPr>
        <w:t xml:space="preserve"> is particularly so in IP arbitration where one party, but not the other, may be deprived of the confidentiality protections of attorney–client privilege, lead- </w:t>
      </w:r>
      <w:proofErr w:type="spellStart"/>
      <w:r w:rsidRPr="008B0677">
        <w:rPr>
          <w:rFonts w:ascii="BemboStd" w:eastAsia="Times New Roman" w:hAnsi="BemboStd" w:cs="Times New Roman"/>
          <w:sz w:val="20"/>
          <w:szCs w:val="20"/>
        </w:rPr>
        <w:t>ing</w:t>
      </w:r>
      <w:proofErr w:type="spellEnd"/>
      <w:r w:rsidRPr="008B0677">
        <w:rPr>
          <w:rFonts w:ascii="BemboStd" w:eastAsia="Times New Roman" w:hAnsi="BemboStd" w:cs="Times New Roman"/>
          <w:sz w:val="20"/>
          <w:szCs w:val="20"/>
        </w:rPr>
        <w:t xml:space="preserve"> to an uneven playing field. Some institutional rules have attempted to rectify this, such as the ICDR Rules</w:t>
      </w:r>
      <w:r w:rsidRPr="008B0677">
        <w:rPr>
          <w:rFonts w:ascii="BemboStd" w:eastAsia="Times New Roman" w:hAnsi="BemboStd" w:cs="Times New Roman"/>
          <w:position w:val="6"/>
          <w:sz w:val="12"/>
          <w:szCs w:val="12"/>
        </w:rPr>
        <w:t xml:space="preserve">9 </w:t>
      </w:r>
      <w:r w:rsidRPr="008B0677">
        <w:rPr>
          <w:rFonts w:ascii="BemboStd" w:eastAsia="Times New Roman" w:hAnsi="BemboStd" w:cs="Times New Roman"/>
          <w:sz w:val="20"/>
          <w:szCs w:val="20"/>
        </w:rPr>
        <w:t>and the IBA Rules,</w:t>
      </w:r>
      <w:r w:rsidRPr="008B0677">
        <w:rPr>
          <w:rFonts w:ascii="BemboStd" w:eastAsia="Times New Roman" w:hAnsi="BemboStd" w:cs="Times New Roman"/>
          <w:position w:val="6"/>
          <w:sz w:val="12"/>
          <w:szCs w:val="12"/>
        </w:rPr>
        <w:t xml:space="preserve">10 </w:t>
      </w:r>
      <w:r w:rsidRPr="008B0677">
        <w:rPr>
          <w:rFonts w:ascii="BemboStd" w:eastAsia="Times New Roman" w:hAnsi="BemboStd" w:cs="Times New Roman"/>
          <w:sz w:val="20"/>
          <w:szCs w:val="20"/>
        </w:rPr>
        <w:t xml:space="preserve">but they do not fully resolve the issue. </w:t>
      </w:r>
    </w:p>
    <w:p w14:paraId="6F78384C"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In 2010, the European Court of Justice (ECJ) declared in the </w:t>
      </w:r>
      <w:proofErr w:type="spellStart"/>
      <w:r w:rsidRPr="008B0677">
        <w:rPr>
          <w:rFonts w:ascii="BemboStd" w:eastAsia="Times New Roman" w:hAnsi="BemboStd" w:cs="Times New Roman"/>
          <w:i/>
          <w:iCs/>
          <w:sz w:val="20"/>
          <w:szCs w:val="20"/>
        </w:rPr>
        <w:t>Azko</w:t>
      </w:r>
      <w:proofErr w:type="spellEnd"/>
      <w:r w:rsidRPr="008B0677">
        <w:rPr>
          <w:rFonts w:ascii="BemboStd" w:eastAsia="Times New Roman" w:hAnsi="BemboStd" w:cs="Times New Roman"/>
          <w:i/>
          <w:iCs/>
          <w:sz w:val="20"/>
          <w:szCs w:val="20"/>
        </w:rPr>
        <w:t xml:space="preserve"> Nobel </w:t>
      </w:r>
      <w:r w:rsidRPr="008B0677">
        <w:rPr>
          <w:rFonts w:ascii="BemboStd" w:eastAsia="Times New Roman" w:hAnsi="BemboStd" w:cs="Times New Roman"/>
          <w:sz w:val="20"/>
          <w:szCs w:val="20"/>
        </w:rPr>
        <w:t>case</w:t>
      </w:r>
      <w:r w:rsidRPr="008B0677">
        <w:rPr>
          <w:rFonts w:ascii="BemboStd" w:eastAsia="Times New Roman" w:hAnsi="BemboStd" w:cs="Times New Roman"/>
          <w:position w:val="6"/>
          <w:sz w:val="12"/>
          <w:szCs w:val="12"/>
        </w:rPr>
        <w:t xml:space="preserve">11 </w:t>
      </w:r>
      <w:r w:rsidRPr="008B0677">
        <w:rPr>
          <w:rFonts w:ascii="BemboStd" w:eastAsia="Times New Roman" w:hAnsi="BemboStd" w:cs="Times New Roman"/>
          <w:sz w:val="20"/>
          <w:szCs w:val="20"/>
        </w:rPr>
        <w:t xml:space="preserve">that the scope of legal privilege in Europe does not extend to in-house lawyers, based on established precedent that in-house counsel </w:t>
      </w:r>
      <w:proofErr w:type="gramStart"/>
      <w:r w:rsidRPr="008B0677">
        <w:rPr>
          <w:rFonts w:ascii="BemboStd" w:eastAsia="Times New Roman" w:hAnsi="BemboStd" w:cs="Times New Roman"/>
          <w:sz w:val="20"/>
          <w:szCs w:val="20"/>
        </w:rPr>
        <w:t>are</w:t>
      </w:r>
      <w:proofErr w:type="gramEnd"/>
      <w:r w:rsidRPr="008B0677">
        <w:rPr>
          <w:rFonts w:ascii="BemboStd" w:eastAsia="Times New Roman" w:hAnsi="BemboStd" w:cs="Times New Roman"/>
          <w:sz w:val="20"/>
          <w:szCs w:val="20"/>
        </w:rPr>
        <w:t xml:space="preserve"> not independent as they are bound to their client by </w:t>
      </w:r>
    </w:p>
    <w:p w14:paraId="7214AD93" w14:textId="77777777" w:rsidR="008B0677" w:rsidRPr="008B0677" w:rsidRDefault="008B0677" w:rsidP="008B0677">
      <w:pPr>
        <w:numPr>
          <w:ilvl w:val="0"/>
          <w:numId w:val="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8  https://icsid.worldbank.org/node/20071</w:t>
      </w:r>
      <w:proofErr w:type="gramEnd"/>
      <w:r w:rsidRPr="008B0677">
        <w:rPr>
          <w:rFonts w:ascii="BemboStd" w:eastAsia="Times New Roman" w:hAnsi="BemboStd" w:cs="Times New Roman"/>
          <w:sz w:val="16"/>
          <w:szCs w:val="16"/>
        </w:rPr>
        <w:t xml:space="preserve">. </w:t>
      </w:r>
    </w:p>
    <w:p w14:paraId="1E53C4E2" w14:textId="77777777" w:rsidR="008B0677" w:rsidRPr="008B0677" w:rsidRDefault="008B0677" w:rsidP="008B0677">
      <w:pPr>
        <w:numPr>
          <w:ilvl w:val="0"/>
          <w:numId w:val="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9  Article</w:t>
      </w:r>
      <w:proofErr w:type="gramEnd"/>
      <w:r w:rsidRPr="008B0677">
        <w:rPr>
          <w:rFonts w:ascii="BemboStd" w:eastAsia="Times New Roman" w:hAnsi="BemboStd" w:cs="Times New Roman"/>
          <w:sz w:val="16"/>
          <w:szCs w:val="16"/>
        </w:rPr>
        <w:t xml:space="preserve"> 22 of the ICDR </w:t>
      </w:r>
      <w:proofErr w:type="spellStart"/>
      <w:r w:rsidRPr="008B0677">
        <w:rPr>
          <w:rFonts w:ascii="BemboStd" w:eastAsia="Times New Roman" w:hAnsi="BemboStd" w:cs="Times New Roman"/>
          <w:sz w:val="16"/>
          <w:szCs w:val="16"/>
        </w:rPr>
        <w:t>Rules:‘When</w:t>
      </w:r>
      <w:proofErr w:type="spellEnd"/>
      <w:r w:rsidRPr="008B0677">
        <w:rPr>
          <w:rFonts w:ascii="BemboStd" w:eastAsia="Times New Roman" w:hAnsi="BemboStd" w:cs="Times New Roman"/>
          <w:sz w:val="16"/>
          <w:szCs w:val="16"/>
        </w:rPr>
        <w:t xml:space="preserve"> the parties, their counsel, or their documents would be subject under </w:t>
      </w:r>
    </w:p>
    <w:p w14:paraId="0EB4DBE9"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applicable law to different rules, the tribunal should, to the extent possible, apply the same rules to all parties, </w:t>
      </w:r>
    </w:p>
    <w:p w14:paraId="4B6529E6"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giving preference to the rule that provides the highest level of protection’. </w:t>
      </w:r>
    </w:p>
    <w:p w14:paraId="03053580" w14:textId="77777777" w:rsidR="008B0677" w:rsidRPr="008B0677" w:rsidRDefault="008B0677" w:rsidP="008B0677">
      <w:pPr>
        <w:numPr>
          <w:ilvl w:val="0"/>
          <w:numId w:val="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10  Article</w:t>
      </w:r>
      <w:proofErr w:type="gramEnd"/>
      <w:r w:rsidRPr="008B0677">
        <w:rPr>
          <w:rFonts w:ascii="BemboStd" w:eastAsia="Times New Roman" w:hAnsi="BemboStd" w:cs="Times New Roman"/>
          <w:sz w:val="16"/>
          <w:szCs w:val="16"/>
        </w:rPr>
        <w:t xml:space="preserve"> 9.3 of the IBA Rules provides that, when considering issues of legal impediment or privilege, within </w:t>
      </w:r>
    </w:p>
    <w:p w14:paraId="79E213E9"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the permitted mandatory legal or ethical rules, the arbitral tribunal may take into account: any need to protect the confidentiality of communications that were ‘made in connection with and for the purpose of providing or obtaining legal advice’, the expectations of the parties and their advisers at the time the legal impediment or privilege is said to have arisen, any possible waiver of said legal impediment or privilege by consent of the parties and ‘the need to maintain fairness and equality as between the Parties, particularly if they are subject to different legal or ethical rules’. </w:t>
      </w:r>
    </w:p>
    <w:p w14:paraId="7122DC7C" w14:textId="77777777" w:rsidR="008B0677" w:rsidRPr="008B0677" w:rsidRDefault="008B0677" w:rsidP="008B0677">
      <w:pPr>
        <w:numPr>
          <w:ilvl w:val="0"/>
          <w:numId w:val="3"/>
        </w:num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11  </w:t>
      </w:r>
      <w:r w:rsidRPr="008B0677">
        <w:rPr>
          <w:rFonts w:ascii="BemboStd" w:eastAsia="Times New Roman" w:hAnsi="BemboStd" w:cs="Times New Roman"/>
          <w:i/>
          <w:iCs/>
          <w:sz w:val="16"/>
          <w:szCs w:val="16"/>
        </w:rPr>
        <w:t xml:space="preserve">Akzo Nobel Chemicals Ltd and </w:t>
      </w:r>
      <w:proofErr w:type="spellStart"/>
      <w:r w:rsidRPr="008B0677">
        <w:rPr>
          <w:rFonts w:ascii="BemboStd" w:eastAsia="Times New Roman" w:hAnsi="BemboStd" w:cs="Times New Roman"/>
          <w:i/>
          <w:iCs/>
          <w:sz w:val="16"/>
          <w:szCs w:val="16"/>
        </w:rPr>
        <w:t>Akcros</w:t>
      </w:r>
      <w:proofErr w:type="spellEnd"/>
      <w:r w:rsidRPr="008B0677">
        <w:rPr>
          <w:rFonts w:ascii="BemboStd" w:eastAsia="Times New Roman" w:hAnsi="BemboStd" w:cs="Times New Roman"/>
          <w:i/>
          <w:iCs/>
          <w:sz w:val="16"/>
          <w:szCs w:val="16"/>
        </w:rPr>
        <w:t xml:space="preserve"> Chemicals Ltd v. European Commission</w:t>
      </w:r>
      <w:r w:rsidRPr="008B0677">
        <w:rPr>
          <w:rFonts w:ascii="BemboStd" w:eastAsia="Times New Roman" w:hAnsi="BemboStd" w:cs="Times New Roman"/>
          <w:sz w:val="16"/>
          <w:szCs w:val="16"/>
        </w:rPr>
        <w:t>, 2010, Case No. C-550/07 P.</w:t>
      </w:r>
      <w:r w:rsidRPr="008B0677">
        <w:rPr>
          <w:rFonts w:ascii="BemboStd" w:eastAsia="Times New Roman" w:hAnsi="BemboStd" w:cs="Times New Roman"/>
          <w:sz w:val="16"/>
          <w:szCs w:val="16"/>
        </w:rPr>
        <w:br/>
        <w:t xml:space="preserve">This case resulted from a series of dawn raids by the European Commission on the UK premises of Akzo Nobel Chemicals during which a considerable number of documents were seized, including internal emails exchanged with Akzo Nobel in-house </w:t>
      </w:r>
      <w:proofErr w:type="spellStart"/>
      <w:r w:rsidRPr="008B0677">
        <w:rPr>
          <w:rFonts w:ascii="BemboStd" w:eastAsia="Times New Roman" w:hAnsi="BemboStd" w:cs="Times New Roman"/>
          <w:sz w:val="16"/>
          <w:szCs w:val="16"/>
        </w:rPr>
        <w:t>counsel.Akzo</w:t>
      </w:r>
      <w:proofErr w:type="spellEnd"/>
      <w:r w:rsidRPr="008B0677">
        <w:rPr>
          <w:rFonts w:ascii="BemboStd" w:eastAsia="Times New Roman" w:hAnsi="BemboStd" w:cs="Times New Roman"/>
          <w:sz w:val="16"/>
          <w:szCs w:val="16"/>
        </w:rPr>
        <w:t xml:space="preserve"> Nobel asserted that the documents seized by the Commission were protected by legal professional </w:t>
      </w:r>
      <w:proofErr w:type="spellStart"/>
      <w:r w:rsidRPr="008B0677">
        <w:rPr>
          <w:rFonts w:ascii="BemboStd" w:eastAsia="Times New Roman" w:hAnsi="BemboStd" w:cs="Times New Roman"/>
          <w:sz w:val="16"/>
          <w:szCs w:val="16"/>
        </w:rPr>
        <w:t>privilege.The</w:t>
      </w:r>
      <w:proofErr w:type="spellEnd"/>
      <w:r w:rsidRPr="008B0677">
        <w:rPr>
          <w:rFonts w:ascii="BemboStd" w:eastAsia="Times New Roman" w:hAnsi="BemboStd" w:cs="Times New Roman"/>
          <w:sz w:val="16"/>
          <w:szCs w:val="16"/>
        </w:rPr>
        <w:t xml:space="preserve"> ECJ ruling confirmed the trial court decision that the documents were not protected by privilege. </w:t>
      </w:r>
    </w:p>
    <w:p w14:paraId="61718824"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91 </w:t>
      </w:r>
    </w:p>
    <w:p w14:paraId="5B80BA19" w14:textId="01199DDB"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lastRenderedPageBreak/>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"/var/folders/3y/yz0s3nns5879wt_b0sx_g3rr0000gn/T/com.microsoft.Word/WebArchiveCopyPasteTempFiles/page11image26112192"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29AD88C4" wp14:editId="4D138672">
            <wp:extent cx="901700" cy="2743200"/>
            <wp:effectExtent l="0" t="0" r="0" b="0"/>
            <wp:docPr id="10" name="Picture 10" descr="page11image2611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1image2611219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747035EF"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0FD1FE6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06194A2D"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an employment relationship.</w:t>
      </w:r>
      <w:r w:rsidRPr="008B0677">
        <w:rPr>
          <w:rFonts w:ascii="BemboStd" w:eastAsia="Times New Roman" w:hAnsi="BemboStd" w:cs="Times New Roman"/>
          <w:position w:val="6"/>
          <w:sz w:val="12"/>
          <w:szCs w:val="12"/>
        </w:rPr>
        <w:t xml:space="preserve">12 </w:t>
      </w:r>
      <w:r w:rsidRPr="008B0677">
        <w:rPr>
          <w:rFonts w:ascii="BemboStd" w:eastAsia="Times New Roman" w:hAnsi="BemboStd" w:cs="Times New Roman"/>
          <w:sz w:val="20"/>
          <w:szCs w:val="20"/>
        </w:rPr>
        <w:t xml:space="preserve">The court held that legal privilege only protects </w:t>
      </w:r>
      <w:proofErr w:type="spellStart"/>
      <w:r w:rsidRPr="008B0677">
        <w:rPr>
          <w:rFonts w:ascii="BemboStd" w:eastAsia="Times New Roman" w:hAnsi="BemboStd" w:cs="Times New Roman"/>
          <w:sz w:val="20"/>
          <w:szCs w:val="20"/>
        </w:rPr>
        <w:t>independ</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ent</w:t>
      </w:r>
      <w:proofErr w:type="spellEnd"/>
      <w:r w:rsidRPr="008B0677">
        <w:rPr>
          <w:rFonts w:ascii="BemboStd" w:eastAsia="Times New Roman" w:hAnsi="BemboStd" w:cs="Times New Roman"/>
          <w:sz w:val="20"/>
          <w:szCs w:val="20"/>
        </w:rPr>
        <w:t xml:space="preserve"> attorneys – ‘that is to say lawyers who are not bound to the client by a relationship of employment’,</w:t>
      </w:r>
      <w:r w:rsidRPr="008B0677">
        <w:rPr>
          <w:rFonts w:ascii="BemboStd" w:eastAsia="Times New Roman" w:hAnsi="BemboStd" w:cs="Times New Roman"/>
          <w:position w:val="6"/>
          <w:sz w:val="12"/>
          <w:szCs w:val="12"/>
        </w:rPr>
        <w:t xml:space="preserve">13 </w:t>
      </w:r>
      <w:r w:rsidRPr="008B0677">
        <w:rPr>
          <w:rFonts w:ascii="BemboStd" w:eastAsia="Times New Roman" w:hAnsi="BemboStd" w:cs="Times New Roman"/>
          <w:sz w:val="20"/>
          <w:szCs w:val="20"/>
        </w:rPr>
        <w:t>though each EU Member State may adopt more generous privilege rules.</w:t>
      </w:r>
      <w:r w:rsidRPr="008B0677">
        <w:rPr>
          <w:rFonts w:ascii="BemboStd" w:eastAsia="Times New Roman" w:hAnsi="BemboStd" w:cs="Times New Roman"/>
          <w:position w:val="6"/>
          <w:sz w:val="12"/>
          <w:szCs w:val="12"/>
        </w:rPr>
        <w:t xml:space="preserve">14 </w:t>
      </w:r>
      <w:r w:rsidRPr="008B0677">
        <w:rPr>
          <w:rFonts w:ascii="BemboStd" w:eastAsia="Times New Roman" w:hAnsi="BemboStd" w:cs="Times New Roman"/>
          <w:sz w:val="20"/>
          <w:szCs w:val="20"/>
        </w:rPr>
        <w:t>This is the case in Spain, for example, where the rules do not distinguish between external and internal counsel.</w:t>
      </w:r>
      <w:r w:rsidRPr="008B0677">
        <w:rPr>
          <w:rFonts w:ascii="BemboStd" w:eastAsia="Times New Roman" w:hAnsi="BemboStd" w:cs="Times New Roman"/>
          <w:position w:val="6"/>
          <w:sz w:val="12"/>
          <w:szCs w:val="12"/>
        </w:rPr>
        <w:t xml:space="preserve">15 </w:t>
      </w:r>
      <w:r w:rsidRPr="008B0677">
        <w:rPr>
          <w:rFonts w:ascii="BemboStd" w:eastAsia="Times New Roman" w:hAnsi="BemboStd" w:cs="Times New Roman"/>
          <w:sz w:val="20"/>
          <w:szCs w:val="20"/>
        </w:rPr>
        <w:t>Some states, such as Belgium, have adopted new statutes to provide in-house lawyers with the same degree of privilege and confidentiality as independent attorneys.</w:t>
      </w:r>
      <w:r w:rsidRPr="008B0677">
        <w:rPr>
          <w:rFonts w:ascii="BemboStd" w:eastAsia="Times New Roman" w:hAnsi="BemboStd" w:cs="Times New Roman"/>
          <w:position w:val="6"/>
          <w:sz w:val="12"/>
          <w:szCs w:val="12"/>
        </w:rPr>
        <w:t xml:space="preserve">16 </w:t>
      </w:r>
    </w:p>
    <w:p w14:paraId="133F5FE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Under the rules of the Dutch Bar, all admitted lawyers benefit from legal privilege, regardless of their position as in-house or external counsel. English courts also grant legal privilege to in-house lawyers, specifically </w:t>
      </w:r>
      <w:proofErr w:type="gramStart"/>
      <w:r w:rsidRPr="008B0677">
        <w:rPr>
          <w:rFonts w:ascii="BemboStd" w:eastAsia="Times New Roman" w:hAnsi="BemboStd" w:cs="Times New Roman"/>
          <w:sz w:val="20"/>
          <w:szCs w:val="20"/>
        </w:rPr>
        <w:t>with regard to</w:t>
      </w:r>
      <w:proofErr w:type="gramEnd"/>
      <w:r w:rsidRPr="008B0677">
        <w:rPr>
          <w:rFonts w:ascii="BemboStd" w:eastAsia="Times New Roman" w:hAnsi="BemboStd" w:cs="Times New Roman"/>
          <w:sz w:val="20"/>
          <w:szCs w:val="20"/>
        </w:rPr>
        <w:t xml:space="preserve"> their communications. During the 2010 appeal in </w:t>
      </w:r>
      <w:r w:rsidRPr="008B0677">
        <w:rPr>
          <w:rFonts w:ascii="BemboStd" w:eastAsia="Times New Roman" w:hAnsi="BemboStd" w:cs="Times New Roman"/>
          <w:i/>
          <w:iCs/>
          <w:sz w:val="20"/>
          <w:szCs w:val="20"/>
        </w:rPr>
        <w:t xml:space="preserve">Akzo Nobel Chemicals Ltd and </w:t>
      </w:r>
      <w:proofErr w:type="spellStart"/>
      <w:r w:rsidRPr="008B0677">
        <w:rPr>
          <w:rFonts w:ascii="BemboStd" w:eastAsia="Times New Roman" w:hAnsi="BemboStd" w:cs="Times New Roman"/>
          <w:i/>
          <w:iCs/>
          <w:sz w:val="20"/>
          <w:szCs w:val="20"/>
        </w:rPr>
        <w:t>Akcros</w:t>
      </w:r>
      <w:proofErr w:type="spellEnd"/>
      <w:r w:rsidRPr="008B0677">
        <w:rPr>
          <w:rFonts w:ascii="BemboStd" w:eastAsia="Times New Roman" w:hAnsi="BemboStd" w:cs="Times New Roman"/>
          <w:i/>
          <w:iCs/>
          <w:sz w:val="20"/>
          <w:szCs w:val="20"/>
        </w:rPr>
        <w:t xml:space="preserve"> Chemicals Ltd v. European Commission</w:t>
      </w:r>
      <w:r w:rsidRPr="008B0677">
        <w:rPr>
          <w:rFonts w:ascii="BemboStd" w:eastAsia="Times New Roman" w:hAnsi="BemboStd" w:cs="Times New Roman"/>
          <w:sz w:val="20"/>
          <w:szCs w:val="20"/>
        </w:rPr>
        <w:t xml:space="preserve">, the United Kingdom and the Netherlands endorsed the order sought by the appellants Akzo and </w:t>
      </w:r>
      <w:proofErr w:type="spellStart"/>
      <w:r w:rsidRPr="008B0677">
        <w:rPr>
          <w:rFonts w:ascii="BemboStd" w:eastAsia="Times New Roman" w:hAnsi="BemboStd" w:cs="Times New Roman"/>
          <w:sz w:val="20"/>
          <w:szCs w:val="20"/>
        </w:rPr>
        <w:t>Akcros</w:t>
      </w:r>
      <w:proofErr w:type="spellEnd"/>
      <w:r w:rsidRPr="008B0677">
        <w:rPr>
          <w:rFonts w:ascii="BemboStd" w:eastAsia="Times New Roman" w:hAnsi="BemboStd" w:cs="Times New Roman"/>
          <w:sz w:val="20"/>
          <w:szCs w:val="20"/>
        </w:rPr>
        <w:t>,</w:t>
      </w:r>
      <w:r w:rsidRPr="008B0677">
        <w:rPr>
          <w:rFonts w:ascii="BemboStd" w:eastAsia="Times New Roman" w:hAnsi="BemboStd" w:cs="Times New Roman"/>
          <w:position w:val="6"/>
          <w:sz w:val="12"/>
          <w:szCs w:val="12"/>
        </w:rPr>
        <w:t xml:space="preserve">17 </w:t>
      </w:r>
      <w:r w:rsidRPr="008B0677">
        <w:rPr>
          <w:rFonts w:ascii="BemboStd" w:eastAsia="Times New Roman" w:hAnsi="BemboStd" w:cs="Times New Roman"/>
          <w:sz w:val="20"/>
          <w:szCs w:val="20"/>
        </w:rPr>
        <w:t>as did the International Bar Association, the Association of Corporate Counsel Association, the European Company Lawyers Association and the Council of Bars and Law Societies of Europe.</w:t>
      </w:r>
      <w:r w:rsidRPr="008B0677">
        <w:rPr>
          <w:rFonts w:ascii="BemboStd" w:eastAsia="Times New Roman" w:hAnsi="BemboStd" w:cs="Times New Roman"/>
          <w:position w:val="6"/>
          <w:sz w:val="12"/>
          <w:szCs w:val="12"/>
        </w:rPr>
        <w:t xml:space="preserve">18 </w:t>
      </w:r>
    </w:p>
    <w:p w14:paraId="014E6282"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The United States does not view attorney independence as a cornerstone criterion for the existence of legal privilege. Accordingly, legal privilege extends to in-house counsel and accordingly communications between an in-house lawyer and his or her client are privileged, even if that client is the employer.</w:t>
      </w:r>
      <w:r w:rsidRPr="008B0677">
        <w:rPr>
          <w:rFonts w:ascii="BemboStd" w:eastAsia="Times New Roman" w:hAnsi="BemboStd" w:cs="Times New Roman"/>
          <w:position w:val="6"/>
          <w:sz w:val="12"/>
          <w:szCs w:val="12"/>
        </w:rPr>
        <w:t xml:space="preserve">19 </w:t>
      </w:r>
    </w:p>
    <w:p w14:paraId="3725BCF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Further, the </w:t>
      </w:r>
      <w:r w:rsidRPr="008B0677">
        <w:rPr>
          <w:rFonts w:ascii="BemboStd" w:eastAsia="Times New Roman" w:hAnsi="BemboStd" w:cs="Times New Roman"/>
          <w:i/>
          <w:iCs/>
          <w:sz w:val="20"/>
          <w:szCs w:val="20"/>
        </w:rPr>
        <w:t xml:space="preserve">Akzo </w:t>
      </w:r>
      <w:r w:rsidRPr="008B0677">
        <w:rPr>
          <w:rFonts w:ascii="BemboStd" w:eastAsia="Times New Roman" w:hAnsi="BemboStd" w:cs="Times New Roman"/>
          <w:sz w:val="20"/>
          <w:szCs w:val="20"/>
        </w:rPr>
        <w:t xml:space="preserve">ruling sheds doubt on whether the broad legal privilege that may apply to counsel outside the European Union, such as for in-house counsel in the United States, would even be </w:t>
      </w:r>
      <w:proofErr w:type="spellStart"/>
      <w:r w:rsidRPr="008B0677">
        <w:rPr>
          <w:rFonts w:ascii="BemboStd" w:eastAsia="Times New Roman" w:hAnsi="BemboStd" w:cs="Times New Roman"/>
          <w:sz w:val="20"/>
          <w:szCs w:val="20"/>
        </w:rPr>
        <w:t>recognised</w:t>
      </w:r>
      <w:proofErr w:type="spellEnd"/>
      <w:r w:rsidRPr="008B0677">
        <w:rPr>
          <w:rFonts w:ascii="BemboStd" w:eastAsia="Times New Roman" w:hAnsi="BemboStd" w:cs="Times New Roman"/>
          <w:sz w:val="20"/>
          <w:szCs w:val="20"/>
        </w:rPr>
        <w:t xml:space="preserve"> in the European Union or an arbitral </w:t>
      </w:r>
      <w:proofErr w:type="spellStart"/>
      <w:r w:rsidRPr="008B0677">
        <w:rPr>
          <w:rFonts w:ascii="BemboStd" w:eastAsia="Times New Roman" w:hAnsi="BemboStd" w:cs="Times New Roman"/>
          <w:sz w:val="20"/>
          <w:szCs w:val="20"/>
        </w:rPr>
        <w:t>forum.This</w:t>
      </w:r>
      <w:proofErr w:type="spellEnd"/>
      <w:r w:rsidRPr="008B0677">
        <w:rPr>
          <w:rFonts w:ascii="BemboStd" w:eastAsia="Times New Roman" w:hAnsi="BemboStd" w:cs="Times New Roman"/>
          <w:sz w:val="20"/>
          <w:szCs w:val="20"/>
        </w:rPr>
        <w:t xml:space="preserve"> leads to an increased risk of unwanted or unforeseen disclosures when non-EU parties produce legally privileged information in an arbitration the seat of which is in the European Union, creating further uncertainty for the parties.</w:t>
      </w:r>
      <w:r w:rsidRPr="008B0677">
        <w:rPr>
          <w:rFonts w:ascii="BemboStd" w:eastAsia="Times New Roman" w:hAnsi="BemboStd" w:cs="Times New Roman"/>
          <w:position w:val="6"/>
          <w:sz w:val="12"/>
          <w:szCs w:val="12"/>
        </w:rPr>
        <w:t xml:space="preserve">20 </w:t>
      </w:r>
    </w:p>
    <w:p w14:paraId="3DCE275E"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By way of example, imagine an arbitration seated in Paris over a failed joint venture involving a patent dispute, with US and French parties, represented respectively by US and French counsel each admitted to their respective </w:t>
      </w:r>
      <w:proofErr w:type="spellStart"/>
      <w:proofErr w:type="gramStart"/>
      <w:r w:rsidRPr="008B0677">
        <w:rPr>
          <w:rFonts w:ascii="BemboStd" w:eastAsia="Times New Roman" w:hAnsi="BemboStd" w:cs="Times New Roman"/>
          <w:sz w:val="20"/>
          <w:szCs w:val="20"/>
        </w:rPr>
        <w:t>bars.The</w:t>
      </w:r>
      <w:proofErr w:type="spellEnd"/>
      <w:proofErr w:type="gramEnd"/>
      <w:r w:rsidRPr="008B0677">
        <w:rPr>
          <w:rFonts w:ascii="BemboStd" w:eastAsia="Times New Roman" w:hAnsi="BemboStd" w:cs="Times New Roman"/>
          <w:sz w:val="20"/>
          <w:szCs w:val="20"/>
        </w:rPr>
        <w:t xml:space="preserve"> US party asks for the documents and email addresses of the French company’s in-house counsel during the time when the French company’s inventors were preparing their patent, while the French party does the </w:t>
      </w:r>
    </w:p>
    <w:p w14:paraId="28C920D5"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lastRenderedPageBreak/>
        <w:t>12  </w:t>
      </w:r>
      <w:r w:rsidRPr="008B0677">
        <w:rPr>
          <w:rFonts w:ascii="BemboStd" w:eastAsia="Times New Roman" w:hAnsi="BemboStd" w:cs="Times New Roman"/>
          <w:i/>
          <w:iCs/>
          <w:sz w:val="16"/>
          <w:szCs w:val="16"/>
        </w:rPr>
        <w:t>AM</w:t>
      </w:r>
      <w:proofErr w:type="gramEnd"/>
      <w:r w:rsidRPr="008B0677">
        <w:rPr>
          <w:rFonts w:ascii="BemboStd" w:eastAsia="Times New Roman" w:hAnsi="BemboStd" w:cs="Times New Roman"/>
          <w:i/>
          <w:iCs/>
          <w:sz w:val="16"/>
          <w:szCs w:val="16"/>
        </w:rPr>
        <w:t>&amp;S Europe Ltd v. European Commission</w:t>
      </w:r>
      <w:r w:rsidRPr="008B0677">
        <w:rPr>
          <w:rFonts w:ascii="BemboStd" w:eastAsia="Times New Roman" w:hAnsi="BemboStd" w:cs="Times New Roman"/>
          <w:sz w:val="16"/>
          <w:szCs w:val="16"/>
        </w:rPr>
        <w:t xml:space="preserve">, 1982, Case No. 155/79, Para. 21, p. 1,611 (the Commission may not require production of documents exchanged between a client and independent legal counsel). </w:t>
      </w:r>
    </w:p>
    <w:p w14:paraId="46FD637F"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13  Supra</w:t>
      </w:r>
      <w:proofErr w:type="gramEnd"/>
      <w:r w:rsidRPr="008B0677">
        <w:rPr>
          <w:rFonts w:ascii="BemboStd" w:eastAsia="Times New Roman" w:hAnsi="BemboStd" w:cs="Times New Roman"/>
          <w:sz w:val="16"/>
          <w:szCs w:val="16"/>
        </w:rPr>
        <w:t xml:space="preserve"> note 11, Para. 41, p. 8,381. </w:t>
      </w:r>
    </w:p>
    <w:p w14:paraId="01DEC9FF"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14  Though</w:t>
      </w:r>
      <w:proofErr w:type="gramEnd"/>
      <w:r w:rsidRPr="008B0677">
        <w:rPr>
          <w:rFonts w:ascii="BemboStd" w:eastAsia="Times New Roman" w:hAnsi="BemboStd" w:cs="Times New Roman"/>
          <w:sz w:val="16"/>
          <w:szCs w:val="16"/>
        </w:rPr>
        <w:t xml:space="preserve"> for appearances by counsel before EU regulators the </w:t>
      </w:r>
      <w:r w:rsidRPr="008B0677">
        <w:rPr>
          <w:rFonts w:ascii="BemboStd" w:eastAsia="Times New Roman" w:hAnsi="BemboStd" w:cs="Times New Roman"/>
          <w:i/>
          <w:iCs/>
          <w:sz w:val="16"/>
          <w:szCs w:val="16"/>
        </w:rPr>
        <w:t xml:space="preserve">Akzo </w:t>
      </w:r>
      <w:r w:rsidRPr="008B0677">
        <w:rPr>
          <w:rFonts w:ascii="BemboStd" w:eastAsia="Times New Roman" w:hAnsi="BemboStd" w:cs="Times New Roman"/>
          <w:sz w:val="16"/>
          <w:szCs w:val="16"/>
        </w:rPr>
        <w:t xml:space="preserve">rule will apply uniformly to all counsel. </w:t>
      </w:r>
    </w:p>
    <w:p w14:paraId="5AF7DA5B"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15  </w:t>
      </w:r>
      <w:proofErr w:type="spellStart"/>
      <w:r w:rsidRPr="008B0677">
        <w:rPr>
          <w:rFonts w:ascii="BemboStd" w:eastAsia="Times New Roman" w:hAnsi="BemboStd" w:cs="Times New Roman"/>
          <w:sz w:val="16"/>
          <w:szCs w:val="16"/>
        </w:rPr>
        <w:t>See</w:t>
      </w:r>
      <w:proofErr w:type="gramEnd"/>
      <w:r w:rsidRPr="008B0677">
        <w:rPr>
          <w:rFonts w:ascii="BemboStd" w:eastAsia="Times New Roman" w:hAnsi="BemboStd" w:cs="Times New Roman"/>
          <w:sz w:val="16"/>
          <w:szCs w:val="16"/>
        </w:rPr>
        <w:t>:Article</w:t>
      </w:r>
      <w:proofErr w:type="spellEnd"/>
      <w:r w:rsidRPr="008B0677">
        <w:rPr>
          <w:rFonts w:ascii="BemboStd" w:eastAsia="Times New Roman" w:hAnsi="BemboStd" w:cs="Times New Roman"/>
          <w:sz w:val="16"/>
          <w:szCs w:val="16"/>
        </w:rPr>
        <w:t xml:space="preserve"> 27.4 of the Spanish General Regulation of the Legal Profession (</w:t>
      </w:r>
      <w:proofErr w:type="spellStart"/>
      <w:r w:rsidRPr="008B0677">
        <w:rPr>
          <w:rFonts w:ascii="BemboStd" w:eastAsia="Times New Roman" w:hAnsi="BemboStd" w:cs="Times New Roman"/>
          <w:sz w:val="16"/>
          <w:szCs w:val="16"/>
        </w:rPr>
        <w:t>Estatuto</w:t>
      </w:r>
      <w:proofErr w:type="spellEnd"/>
      <w:r w:rsidRPr="008B0677">
        <w:rPr>
          <w:rFonts w:ascii="BemboStd" w:eastAsia="Times New Roman" w:hAnsi="BemboStd" w:cs="Times New Roman"/>
          <w:sz w:val="16"/>
          <w:szCs w:val="16"/>
        </w:rPr>
        <w:t xml:space="preserve"> General de la </w:t>
      </w:r>
      <w:proofErr w:type="spellStart"/>
      <w:r w:rsidRPr="008B0677">
        <w:rPr>
          <w:rFonts w:ascii="BemboStd" w:eastAsia="Times New Roman" w:hAnsi="BemboStd" w:cs="Times New Roman"/>
          <w:sz w:val="16"/>
          <w:szCs w:val="16"/>
        </w:rPr>
        <w:t>Abogacía</w:t>
      </w:r>
      <w:proofErr w:type="spellEnd"/>
      <w:r w:rsidRPr="008B0677">
        <w:rPr>
          <w:rFonts w:ascii="BemboStd" w:eastAsia="Times New Roman" w:hAnsi="BemboStd" w:cs="Times New Roman"/>
          <w:sz w:val="16"/>
          <w:szCs w:val="16"/>
        </w:rPr>
        <w:t xml:space="preserve">). </w:t>
      </w:r>
    </w:p>
    <w:p w14:paraId="7180C108"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16  </w:t>
      </w:r>
      <w:proofErr w:type="spellStart"/>
      <w:r w:rsidRPr="008B0677">
        <w:rPr>
          <w:rFonts w:ascii="BemboStd" w:eastAsia="Times New Roman" w:hAnsi="BemboStd" w:cs="Times New Roman"/>
          <w:sz w:val="16"/>
          <w:szCs w:val="16"/>
        </w:rPr>
        <w:t>Gauvain</w:t>
      </w:r>
      <w:proofErr w:type="spellEnd"/>
      <w:proofErr w:type="gramEnd"/>
      <w:r w:rsidRPr="008B0677">
        <w:rPr>
          <w:rFonts w:ascii="BemboStd" w:eastAsia="Times New Roman" w:hAnsi="BemboStd" w:cs="Times New Roman"/>
          <w:sz w:val="16"/>
          <w:szCs w:val="16"/>
        </w:rPr>
        <w:t xml:space="preserve"> Report (2019),‘</w:t>
      </w:r>
      <w:proofErr w:type="spellStart"/>
      <w:r w:rsidRPr="008B0677">
        <w:rPr>
          <w:rFonts w:ascii="BemboStd" w:eastAsia="Times New Roman" w:hAnsi="BemboStd" w:cs="Times New Roman"/>
          <w:sz w:val="16"/>
          <w:szCs w:val="16"/>
        </w:rPr>
        <w:t>Rétablir</w:t>
      </w:r>
      <w:proofErr w:type="spellEnd"/>
      <w:r w:rsidRPr="008B0677">
        <w:rPr>
          <w:rFonts w:ascii="BemboStd" w:eastAsia="Times New Roman" w:hAnsi="BemboStd" w:cs="Times New Roman"/>
          <w:sz w:val="16"/>
          <w:szCs w:val="16"/>
        </w:rPr>
        <w:t xml:space="preserve"> la </w:t>
      </w:r>
      <w:proofErr w:type="spellStart"/>
      <w:r w:rsidRPr="008B0677">
        <w:rPr>
          <w:rFonts w:ascii="BemboStd" w:eastAsia="Times New Roman" w:hAnsi="BemboStd" w:cs="Times New Roman"/>
          <w:sz w:val="16"/>
          <w:szCs w:val="16"/>
        </w:rPr>
        <w:t>souverainete</w:t>
      </w:r>
      <w:proofErr w:type="spellEnd"/>
      <w:r w:rsidRPr="008B0677">
        <w:rPr>
          <w:rFonts w:ascii="BemboStd" w:eastAsia="Times New Roman" w:hAnsi="BemboStd" w:cs="Times New Roman"/>
          <w:sz w:val="16"/>
          <w:szCs w:val="16"/>
        </w:rPr>
        <w:t xml:space="preserve">́ de la France et de </w:t>
      </w:r>
      <w:proofErr w:type="spellStart"/>
      <w:r w:rsidRPr="008B0677">
        <w:rPr>
          <w:rFonts w:ascii="BemboStd" w:eastAsia="Times New Roman" w:hAnsi="BemboStd" w:cs="Times New Roman"/>
          <w:sz w:val="16"/>
          <w:szCs w:val="16"/>
        </w:rPr>
        <w:t>l’Europe</w:t>
      </w:r>
      <w:proofErr w:type="spellEnd"/>
      <w:r w:rsidRPr="008B0677">
        <w:rPr>
          <w:rFonts w:ascii="BemboStd" w:eastAsia="Times New Roman" w:hAnsi="BemboStd" w:cs="Times New Roman"/>
          <w:sz w:val="16"/>
          <w:szCs w:val="16"/>
        </w:rPr>
        <w:t xml:space="preserve"> et </w:t>
      </w:r>
      <w:proofErr w:type="spellStart"/>
      <w:r w:rsidRPr="008B0677">
        <w:rPr>
          <w:rFonts w:ascii="BemboStd" w:eastAsia="Times New Roman" w:hAnsi="BemboStd" w:cs="Times New Roman"/>
          <w:sz w:val="16"/>
          <w:szCs w:val="16"/>
        </w:rPr>
        <w:t>protéger</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nos</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entreprises</w:t>
      </w:r>
      <w:proofErr w:type="spellEnd"/>
      <w:r w:rsidRPr="008B0677">
        <w:rPr>
          <w:rFonts w:ascii="BemboStd" w:eastAsia="Times New Roman" w:hAnsi="BemboStd" w:cs="Times New Roman"/>
          <w:sz w:val="16"/>
          <w:szCs w:val="16"/>
        </w:rPr>
        <w:t xml:space="preserve"> des </w:t>
      </w:r>
    </w:p>
    <w:p w14:paraId="737A36EE"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proofErr w:type="spellStart"/>
      <w:r w:rsidRPr="008B0677">
        <w:rPr>
          <w:rFonts w:ascii="BemboStd" w:eastAsia="Times New Roman" w:hAnsi="BemboStd" w:cs="Times New Roman"/>
          <w:sz w:val="16"/>
          <w:szCs w:val="16"/>
        </w:rPr>
        <w:t>lois</w:t>
      </w:r>
      <w:proofErr w:type="spellEnd"/>
      <w:r w:rsidRPr="008B0677">
        <w:rPr>
          <w:rFonts w:ascii="BemboStd" w:eastAsia="Times New Roman" w:hAnsi="BemboStd" w:cs="Times New Roman"/>
          <w:sz w:val="16"/>
          <w:szCs w:val="16"/>
        </w:rPr>
        <w:t xml:space="preserve"> et </w:t>
      </w:r>
      <w:proofErr w:type="spellStart"/>
      <w:r w:rsidRPr="008B0677">
        <w:rPr>
          <w:rFonts w:ascii="BemboStd" w:eastAsia="Times New Roman" w:hAnsi="BemboStd" w:cs="Times New Roman"/>
          <w:sz w:val="16"/>
          <w:szCs w:val="16"/>
        </w:rPr>
        <w:t>mesures</w:t>
      </w:r>
      <w:proofErr w:type="spellEnd"/>
      <w:r w:rsidRPr="008B0677">
        <w:rPr>
          <w:rFonts w:ascii="BemboStd" w:eastAsia="Times New Roman" w:hAnsi="BemboStd" w:cs="Times New Roman"/>
          <w:sz w:val="16"/>
          <w:szCs w:val="16"/>
        </w:rPr>
        <w:t xml:space="preserve"> à </w:t>
      </w:r>
      <w:proofErr w:type="spellStart"/>
      <w:r w:rsidRPr="008B0677">
        <w:rPr>
          <w:rFonts w:ascii="BemboStd" w:eastAsia="Times New Roman" w:hAnsi="BemboStd" w:cs="Times New Roman"/>
          <w:sz w:val="16"/>
          <w:szCs w:val="16"/>
        </w:rPr>
        <w:t>portée</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extraterritoriale</w:t>
      </w:r>
      <w:proofErr w:type="spellEnd"/>
      <w:r w:rsidRPr="008B0677">
        <w:rPr>
          <w:rFonts w:ascii="BemboStd" w:eastAsia="Times New Roman" w:hAnsi="BemboStd" w:cs="Times New Roman"/>
          <w:sz w:val="16"/>
          <w:szCs w:val="16"/>
        </w:rPr>
        <w:t xml:space="preserve">’, 26 June 2019, p. 48; DLA </w:t>
      </w:r>
      <w:proofErr w:type="spellStart"/>
      <w:proofErr w:type="gramStart"/>
      <w:r w:rsidRPr="008B0677">
        <w:rPr>
          <w:rFonts w:ascii="BemboStd" w:eastAsia="Times New Roman" w:hAnsi="BemboStd" w:cs="Times New Roman"/>
          <w:sz w:val="16"/>
          <w:szCs w:val="16"/>
        </w:rPr>
        <w:t>Piper,‘</w:t>
      </w:r>
      <w:proofErr w:type="gramEnd"/>
      <w:r w:rsidRPr="008B0677">
        <w:rPr>
          <w:rFonts w:ascii="BemboStd" w:eastAsia="Times New Roman" w:hAnsi="BemboStd" w:cs="Times New Roman"/>
          <w:sz w:val="16"/>
          <w:szCs w:val="16"/>
        </w:rPr>
        <w:t>Legal</w:t>
      </w:r>
      <w:proofErr w:type="spellEnd"/>
      <w:r w:rsidRPr="008B0677">
        <w:rPr>
          <w:rFonts w:ascii="BemboStd" w:eastAsia="Times New Roman" w:hAnsi="BemboStd" w:cs="Times New Roman"/>
          <w:sz w:val="16"/>
          <w:szCs w:val="16"/>
        </w:rPr>
        <w:t xml:space="preserve"> privilege global guide’, p. 14. </w:t>
      </w:r>
    </w:p>
    <w:p w14:paraId="329A3F60"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17  Supra</w:t>
      </w:r>
      <w:proofErr w:type="gramEnd"/>
      <w:r w:rsidRPr="008B0677">
        <w:rPr>
          <w:rFonts w:ascii="BemboStd" w:eastAsia="Times New Roman" w:hAnsi="BemboStd" w:cs="Times New Roman"/>
          <w:sz w:val="16"/>
          <w:szCs w:val="16"/>
        </w:rPr>
        <w:t xml:space="preserve"> note 11, Para. 12, p. 8,372. </w:t>
      </w:r>
    </w:p>
    <w:p w14:paraId="627E038A"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18  The</w:t>
      </w:r>
      <w:proofErr w:type="gramEnd"/>
      <w:r w:rsidRPr="008B0677">
        <w:rPr>
          <w:rFonts w:ascii="BemboStd" w:eastAsia="Times New Roman" w:hAnsi="BemboStd" w:cs="Times New Roman"/>
          <w:sz w:val="16"/>
          <w:szCs w:val="16"/>
        </w:rPr>
        <w:t xml:space="preserve"> scope of legal privilege has become a matter of geopolitical debate. In the </w:t>
      </w:r>
      <w:proofErr w:type="spellStart"/>
      <w:r w:rsidRPr="008B0677">
        <w:rPr>
          <w:rFonts w:ascii="BemboStd" w:eastAsia="Times New Roman" w:hAnsi="BemboStd" w:cs="Times New Roman"/>
          <w:sz w:val="16"/>
          <w:szCs w:val="16"/>
        </w:rPr>
        <w:t>Gauvain</w:t>
      </w:r>
      <w:proofErr w:type="spellEnd"/>
      <w:r w:rsidRPr="008B0677">
        <w:rPr>
          <w:rFonts w:ascii="BemboStd" w:eastAsia="Times New Roman" w:hAnsi="BemboStd" w:cs="Times New Roman"/>
          <w:sz w:val="16"/>
          <w:szCs w:val="16"/>
        </w:rPr>
        <w:t xml:space="preserve"> Report (2019), the </w:t>
      </w:r>
    </w:p>
    <w:p w14:paraId="175AB1C8"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threat that </w:t>
      </w:r>
      <w:proofErr w:type="gramStart"/>
      <w:r w:rsidRPr="008B0677">
        <w:rPr>
          <w:rFonts w:ascii="BemboStd" w:eastAsia="Times New Roman" w:hAnsi="BemboStd" w:cs="Times New Roman"/>
          <w:sz w:val="16"/>
          <w:szCs w:val="16"/>
        </w:rPr>
        <w:t>French</w:t>
      </w:r>
      <w:proofErr w:type="gramEnd"/>
      <w:r w:rsidRPr="008B0677">
        <w:rPr>
          <w:rFonts w:ascii="BemboStd" w:eastAsia="Times New Roman" w:hAnsi="BemboStd" w:cs="Times New Roman"/>
          <w:sz w:val="16"/>
          <w:szCs w:val="16"/>
        </w:rPr>
        <w:t xml:space="preserve"> companies’ in-house legal communications could be more easily disclosed in extraterritorial investigations implicating French companies than would be the case in countries with a broader legal privilege regime, is an argument to expand the French rule on legal privilege to include in-house counsel. Supra note 16, p.50. </w:t>
      </w:r>
    </w:p>
    <w:p w14:paraId="0D6307AC"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19  </w:t>
      </w:r>
      <w:r w:rsidRPr="008B0677">
        <w:rPr>
          <w:rFonts w:ascii="BemboStd" w:eastAsia="Times New Roman" w:hAnsi="BemboStd" w:cs="Times New Roman"/>
          <w:i/>
          <w:iCs/>
          <w:sz w:val="16"/>
          <w:szCs w:val="16"/>
        </w:rPr>
        <w:t>Upjohn</w:t>
      </w:r>
      <w:proofErr w:type="gramEnd"/>
      <w:r w:rsidRPr="008B0677">
        <w:rPr>
          <w:rFonts w:ascii="BemboStd" w:eastAsia="Times New Roman" w:hAnsi="BemboStd" w:cs="Times New Roman"/>
          <w:i/>
          <w:iCs/>
          <w:sz w:val="16"/>
          <w:szCs w:val="16"/>
        </w:rPr>
        <w:t xml:space="preserve"> Co. v. United States</w:t>
      </w:r>
      <w:r w:rsidRPr="008B0677">
        <w:rPr>
          <w:rFonts w:ascii="BemboStd" w:eastAsia="Times New Roman" w:hAnsi="BemboStd" w:cs="Times New Roman"/>
          <w:sz w:val="16"/>
          <w:szCs w:val="16"/>
        </w:rPr>
        <w:t xml:space="preserve">, 1981, US Supreme </w:t>
      </w:r>
      <w:proofErr w:type="spellStart"/>
      <w:r w:rsidRPr="008B0677">
        <w:rPr>
          <w:rFonts w:ascii="BemboStd" w:eastAsia="Times New Roman" w:hAnsi="BemboStd" w:cs="Times New Roman"/>
          <w:sz w:val="16"/>
          <w:szCs w:val="16"/>
        </w:rPr>
        <w:t>Court,Volume</w:t>
      </w:r>
      <w:proofErr w:type="spellEnd"/>
      <w:r w:rsidRPr="008B0677">
        <w:rPr>
          <w:rFonts w:ascii="BemboStd" w:eastAsia="Times New Roman" w:hAnsi="BemboStd" w:cs="Times New Roman"/>
          <w:sz w:val="16"/>
          <w:szCs w:val="16"/>
        </w:rPr>
        <w:t xml:space="preserve"> 449, US 383. </w:t>
      </w:r>
    </w:p>
    <w:p w14:paraId="2B2A05F0" w14:textId="77777777" w:rsidR="008B0677" w:rsidRPr="008B0677" w:rsidRDefault="008B0677" w:rsidP="008B0677">
      <w:pPr>
        <w:numPr>
          <w:ilvl w:val="0"/>
          <w:numId w:val="4"/>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20  Hogan</w:t>
      </w:r>
      <w:proofErr w:type="gramEnd"/>
      <w:r w:rsidRPr="008B0677">
        <w:rPr>
          <w:rFonts w:ascii="BemboStd" w:eastAsia="Times New Roman" w:hAnsi="BemboStd" w:cs="Times New Roman"/>
          <w:sz w:val="16"/>
          <w:szCs w:val="16"/>
        </w:rPr>
        <w:t xml:space="preserve"> Lovells, Focus on </w:t>
      </w:r>
      <w:proofErr w:type="spellStart"/>
      <w:r w:rsidRPr="008B0677">
        <w:rPr>
          <w:rFonts w:ascii="BemboStd" w:eastAsia="Times New Roman" w:hAnsi="BemboStd" w:cs="Times New Roman"/>
          <w:sz w:val="16"/>
          <w:szCs w:val="16"/>
        </w:rPr>
        <w:t>Regulation,‘Can</w:t>
      </w:r>
      <w:proofErr w:type="spellEnd"/>
      <w:r w:rsidRPr="008B0677">
        <w:rPr>
          <w:rFonts w:ascii="BemboStd" w:eastAsia="Times New Roman" w:hAnsi="BemboStd" w:cs="Times New Roman"/>
          <w:sz w:val="16"/>
          <w:szCs w:val="16"/>
        </w:rPr>
        <w:t xml:space="preserve"> US Attorneys Provide Privileged Advice In Europe?’, 2013. https:// </w:t>
      </w:r>
    </w:p>
    <w:p w14:paraId="0632815D"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www.hoganlovells.com/en/blogs/focus-on-regulation/can-us-attorneys-provide-privileged-advice-in-europe. </w:t>
      </w:r>
    </w:p>
    <w:p w14:paraId="5A997099"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92 </w:t>
      </w:r>
    </w:p>
    <w:p w14:paraId="4B81970A" w14:textId="445BDAAA"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"/var/folders/3y/yz0s3nns5879wt_b0sx_g3rr0000gn/T/com.microsoft.Word/WebArchiveCopyPasteTempFiles/page12image26101824"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01649548" wp14:editId="4F4FD2EE">
            <wp:extent cx="901700" cy="2743200"/>
            <wp:effectExtent l="0" t="0" r="0" b="0"/>
            <wp:docPr id="9" name="Picture 9" descr="page12image2610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12image261018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458C455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314C9A88"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62D1264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same, each seeking to show the other venturer’s lack of good faith performance of the joint venture </w:t>
      </w:r>
      <w:proofErr w:type="spellStart"/>
      <w:proofErr w:type="gramStart"/>
      <w:r w:rsidRPr="008B0677">
        <w:rPr>
          <w:rFonts w:ascii="BemboStd" w:eastAsia="Times New Roman" w:hAnsi="BemboStd" w:cs="Times New Roman"/>
          <w:sz w:val="20"/>
          <w:szCs w:val="20"/>
        </w:rPr>
        <w:t>agreement.As</w:t>
      </w:r>
      <w:proofErr w:type="spellEnd"/>
      <w:proofErr w:type="gramEnd"/>
      <w:r w:rsidRPr="008B0677">
        <w:rPr>
          <w:rFonts w:ascii="BemboStd" w:eastAsia="Times New Roman" w:hAnsi="BemboStd" w:cs="Times New Roman"/>
          <w:sz w:val="20"/>
          <w:szCs w:val="20"/>
        </w:rPr>
        <w:t xml:space="preserve"> French in-house counsel do not benefit from any </w:t>
      </w:r>
      <w:proofErr w:type="spellStart"/>
      <w:r w:rsidRPr="008B0677">
        <w:rPr>
          <w:rFonts w:ascii="BemboStd" w:eastAsia="Times New Roman" w:hAnsi="BemboStd" w:cs="Times New Roman"/>
          <w:sz w:val="20"/>
          <w:szCs w:val="20"/>
        </w:rPr>
        <w:t>recognised</w:t>
      </w:r>
      <w:proofErr w:type="spellEnd"/>
      <w:r w:rsidRPr="008B0677">
        <w:rPr>
          <w:rFonts w:ascii="BemboStd" w:eastAsia="Times New Roman" w:hAnsi="BemboStd" w:cs="Times New Roman"/>
          <w:sz w:val="20"/>
          <w:szCs w:val="20"/>
        </w:rPr>
        <w:t xml:space="preserve"> legal privilege, they can be required to hand over these documents; but as US in-house counsel are covered by privilege, they can avoid this obligation unless the tribunal decides to alter, one way or another, the scope of applicable privilege. </w:t>
      </w:r>
    </w:p>
    <w:p w14:paraId="0CB64797"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However, assuming the tribunal applies each legal privilege according to its terms, the French party will be at a disadvantage as it is required to disclose this type of </w:t>
      </w:r>
      <w:proofErr w:type="spellStart"/>
      <w:r w:rsidRPr="008B0677">
        <w:rPr>
          <w:rFonts w:ascii="BemboStd" w:eastAsia="Times New Roman" w:hAnsi="BemboStd" w:cs="Times New Roman"/>
          <w:sz w:val="20"/>
          <w:szCs w:val="20"/>
        </w:rPr>
        <w:t>communica</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tion</w:t>
      </w:r>
      <w:proofErr w:type="spellEnd"/>
      <w:r w:rsidRPr="008B0677">
        <w:rPr>
          <w:rFonts w:ascii="BemboStd" w:eastAsia="Times New Roman" w:hAnsi="BemboStd" w:cs="Times New Roman"/>
          <w:sz w:val="20"/>
          <w:szCs w:val="20"/>
        </w:rPr>
        <w:t xml:space="preserve">. If the tribunal rules in </w:t>
      </w:r>
      <w:proofErr w:type="spellStart"/>
      <w:r w:rsidRPr="008B0677">
        <w:rPr>
          <w:rFonts w:ascii="BemboStd" w:eastAsia="Times New Roman" w:hAnsi="BemboStd" w:cs="Times New Roman"/>
          <w:sz w:val="20"/>
          <w:szCs w:val="20"/>
        </w:rPr>
        <w:t>favour</w:t>
      </w:r>
      <w:proofErr w:type="spellEnd"/>
      <w:r w:rsidRPr="008B0677">
        <w:rPr>
          <w:rFonts w:ascii="BemboStd" w:eastAsia="Times New Roman" w:hAnsi="BemboStd" w:cs="Times New Roman"/>
          <w:sz w:val="20"/>
          <w:szCs w:val="20"/>
        </w:rPr>
        <w:t xml:space="preserve"> of the </w:t>
      </w:r>
      <w:r w:rsidRPr="008B0677">
        <w:rPr>
          <w:rFonts w:ascii="BemboStd" w:eastAsia="Times New Roman" w:hAnsi="BemboStd" w:cs="Times New Roman"/>
          <w:sz w:val="20"/>
          <w:szCs w:val="20"/>
        </w:rPr>
        <w:lastRenderedPageBreak/>
        <w:t xml:space="preserve">US party, basing its decision in whole or in part on the evidence produced by the French party’s in-house counsel, this could be a basis for the French party to seek the annulment of the award for violating its due process rights under the </w:t>
      </w:r>
      <w:proofErr w:type="spellStart"/>
      <w:r w:rsidRPr="008B0677">
        <w:rPr>
          <w:rFonts w:ascii="BemboStd" w:eastAsia="Times New Roman" w:hAnsi="BemboStd" w:cs="Times New Roman"/>
          <w:sz w:val="20"/>
          <w:szCs w:val="20"/>
        </w:rPr>
        <w:t>NewYork</w:t>
      </w:r>
      <w:proofErr w:type="spellEnd"/>
      <w:r w:rsidRPr="008B0677">
        <w:rPr>
          <w:rFonts w:ascii="BemboStd" w:eastAsia="Times New Roman" w:hAnsi="BemboStd" w:cs="Times New Roman"/>
          <w:sz w:val="20"/>
          <w:szCs w:val="20"/>
        </w:rPr>
        <w:t xml:space="preserve"> Convention.</w:t>
      </w:r>
      <w:r w:rsidRPr="008B0677">
        <w:rPr>
          <w:rFonts w:ascii="BemboStd" w:eastAsia="Times New Roman" w:hAnsi="BemboStd" w:cs="Times New Roman"/>
          <w:position w:val="6"/>
          <w:sz w:val="12"/>
          <w:szCs w:val="12"/>
        </w:rPr>
        <w:t xml:space="preserve">21 </w:t>
      </w:r>
    </w:p>
    <w:p w14:paraId="47E51E82"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What can a tribunal do to accommodate the varied privilege claims presented by par- ties subject to different national laws, and </w:t>
      </w:r>
      <w:proofErr w:type="spellStart"/>
      <w:r w:rsidRPr="008B0677">
        <w:rPr>
          <w:rFonts w:ascii="BemboStd" w:eastAsia="Times New Roman" w:hAnsi="BemboStd" w:cs="Times New Roman"/>
          <w:sz w:val="20"/>
          <w:szCs w:val="20"/>
        </w:rPr>
        <w:t>organise</w:t>
      </w:r>
      <w:proofErr w:type="spellEnd"/>
      <w:r w:rsidRPr="008B0677">
        <w:rPr>
          <w:rFonts w:ascii="BemboStd" w:eastAsia="Times New Roman" w:hAnsi="BemboStd" w:cs="Times New Roman"/>
          <w:sz w:val="20"/>
          <w:szCs w:val="20"/>
        </w:rPr>
        <w:t xml:space="preserve"> a fair hearing? The answer is to avoid applying rigid institutional rules that may not </w:t>
      </w:r>
      <w:proofErr w:type="gramStart"/>
      <w:r w:rsidRPr="008B0677">
        <w:rPr>
          <w:rFonts w:ascii="BemboStd" w:eastAsia="Times New Roman" w:hAnsi="BemboStd" w:cs="Times New Roman"/>
          <w:sz w:val="20"/>
          <w:szCs w:val="20"/>
        </w:rPr>
        <w:t>take into account</w:t>
      </w:r>
      <w:proofErr w:type="gramEnd"/>
      <w:r w:rsidRPr="008B0677">
        <w:rPr>
          <w:rFonts w:ascii="BemboStd" w:eastAsia="Times New Roman" w:hAnsi="BemboStd" w:cs="Times New Roman"/>
          <w:sz w:val="20"/>
          <w:szCs w:val="20"/>
        </w:rPr>
        <w:t xml:space="preserve"> the circumstances, and to address these issues early in the proceedings. Indeed, this is the type of issue that can and should be raised at the start of proceedings,</w:t>
      </w:r>
      <w:r w:rsidRPr="008B0677">
        <w:rPr>
          <w:rFonts w:ascii="BemboStd" w:eastAsia="Times New Roman" w:hAnsi="BemboStd" w:cs="Times New Roman"/>
          <w:position w:val="6"/>
          <w:sz w:val="12"/>
          <w:szCs w:val="12"/>
        </w:rPr>
        <w:t xml:space="preserve">22 </w:t>
      </w:r>
      <w:r w:rsidRPr="008B0677">
        <w:rPr>
          <w:rFonts w:ascii="BemboStd" w:eastAsia="Times New Roman" w:hAnsi="BemboStd" w:cs="Times New Roman"/>
          <w:sz w:val="20"/>
          <w:szCs w:val="20"/>
        </w:rPr>
        <w:t xml:space="preserve">in the terms of reference or another initial procedural order agreed by the </w:t>
      </w:r>
      <w:proofErr w:type="gramStart"/>
      <w:r w:rsidRPr="008B0677">
        <w:rPr>
          <w:rFonts w:ascii="BemboStd" w:eastAsia="Times New Roman" w:hAnsi="BemboStd" w:cs="Times New Roman"/>
          <w:sz w:val="20"/>
          <w:szCs w:val="20"/>
        </w:rPr>
        <w:t>parties, once</w:t>
      </w:r>
      <w:proofErr w:type="gramEnd"/>
      <w:r w:rsidRPr="008B0677">
        <w:rPr>
          <w:rFonts w:ascii="BemboStd" w:eastAsia="Times New Roman" w:hAnsi="BemboStd" w:cs="Times New Roman"/>
          <w:sz w:val="20"/>
          <w:szCs w:val="20"/>
        </w:rPr>
        <w:t xml:space="preserve"> it is clear based on the composition of the parties and their counsel that issues could arise from unequal treatment of legal privilege. </w:t>
      </w:r>
    </w:p>
    <w:p w14:paraId="3BD032F9"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After consulting with the parties, the tribunal can choose to apply: </w:t>
      </w:r>
    </w:p>
    <w:p w14:paraId="3D405AD1" w14:textId="77777777" w:rsidR="008B0677" w:rsidRPr="008B0677" w:rsidRDefault="008B0677" w:rsidP="008B0677">
      <w:pPr>
        <w:numPr>
          <w:ilvl w:val="0"/>
          <w:numId w:val="5"/>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each party’s privilege rules despite potential unfairness, but obtain, if possible, the par- </w:t>
      </w:r>
    </w:p>
    <w:p w14:paraId="68E8CE07"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ties’ consent or waiver to avoid later attacks on the final </w:t>
      </w:r>
      <w:proofErr w:type="gramStart"/>
      <w:r w:rsidRPr="008B0677">
        <w:rPr>
          <w:rFonts w:ascii="BemboStd" w:eastAsia="Times New Roman" w:hAnsi="BemboStd" w:cs="Times New Roman"/>
          <w:sz w:val="20"/>
          <w:szCs w:val="20"/>
        </w:rPr>
        <w:t>award;</w:t>
      </w:r>
      <w:proofErr w:type="gramEnd"/>
      <w:r w:rsidRPr="008B0677">
        <w:rPr>
          <w:rFonts w:ascii="BemboStd" w:eastAsia="Times New Roman" w:hAnsi="BemboStd" w:cs="Times New Roman"/>
          <w:sz w:val="20"/>
          <w:szCs w:val="20"/>
        </w:rPr>
        <w:t xml:space="preserve"> </w:t>
      </w:r>
    </w:p>
    <w:p w14:paraId="4634D509" w14:textId="77777777" w:rsidR="008B0677" w:rsidRPr="008B0677" w:rsidRDefault="008B0677" w:rsidP="008B0677">
      <w:pPr>
        <w:numPr>
          <w:ilvl w:val="0"/>
          <w:numId w:val="5"/>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most limiting of the parties’ privilege rules (in this case, the French rule) – however, </w:t>
      </w:r>
    </w:p>
    <w:p w14:paraId="73DD82B9"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US party could complain that the tribunal’s rule would require that it waive valid legal privilege and may have grounds to seek annulment or non-recognition of the award; or </w:t>
      </w:r>
    </w:p>
    <w:p w14:paraId="13ECE5DA" w14:textId="77777777" w:rsidR="008B0677" w:rsidRPr="008B0677" w:rsidRDefault="008B0677" w:rsidP="008B0677">
      <w:pPr>
        <w:numPr>
          <w:ilvl w:val="0"/>
          <w:numId w:val="5"/>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most expansive of the parties’ privilege rules (in the case, the US rule), rendering undisclosable by tribunal order the French parties’ otherwise non-privileged </w:t>
      </w:r>
      <w:proofErr w:type="spellStart"/>
      <w:r w:rsidRPr="008B0677">
        <w:rPr>
          <w:rFonts w:ascii="BemboStd" w:eastAsia="Times New Roman" w:hAnsi="BemboStd" w:cs="Times New Roman"/>
          <w:sz w:val="20"/>
          <w:szCs w:val="20"/>
        </w:rPr>
        <w:t>docu</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ments</w:t>
      </w:r>
      <w:proofErr w:type="spellEnd"/>
      <w:r w:rsidRPr="008B0677">
        <w:rPr>
          <w:rFonts w:ascii="BemboStd" w:eastAsia="Times New Roman" w:hAnsi="BemboStd" w:cs="Times New Roman"/>
          <w:sz w:val="20"/>
          <w:szCs w:val="20"/>
        </w:rPr>
        <w:t xml:space="preserve"> that, if produced, could affect the outcome of the case. </w:t>
      </w:r>
    </w:p>
    <w:p w14:paraId="023A8C61"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It could be that the tribunal’s ruling, by limiting otherwise available documents in discovery (in the case of the French party), or by imposing the waiver of a valid legal privilege (in the case of the US party), could create grounds to challenge the validity of the award if the tribunal has not sought and obtained the consent of the parties. </w:t>
      </w:r>
    </w:p>
    <w:p w14:paraId="1B2810D9"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And </w:t>
      </w:r>
      <w:proofErr w:type="gramStart"/>
      <w:r w:rsidRPr="008B0677">
        <w:rPr>
          <w:rFonts w:ascii="BemboStd" w:eastAsia="Times New Roman" w:hAnsi="BemboStd" w:cs="Times New Roman"/>
          <w:sz w:val="20"/>
          <w:szCs w:val="20"/>
        </w:rPr>
        <w:t>so</w:t>
      </w:r>
      <w:proofErr w:type="gramEnd"/>
      <w:r w:rsidRPr="008B0677">
        <w:rPr>
          <w:rFonts w:ascii="BemboStd" w:eastAsia="Times New Roman" w:hAnsi="BemboStd" w:cs="Times New Roman"/>
          <w:sz w:val="20"/>
          <w:szCs w:val="20"/>
        </w:rPr>
        <w:t xml:space="preserve"> we return to the central point of the parties’ consent, and the recommendation, if there are competing legal cultures present before the tribunal, to establish scope of </w:t>
      </w:r>
      <w:proofErr w:type="spellStart"/>
      <w:r w:rsidRPr="008B0677">
        <w:rPr>
          <w:rFonts w:ascii="BemboStd" w:eastAsia="Times New Roman" w:hAnsi="BemboStd" w:cs="Times New Roman"/>
          <w:sz w:val="20"/>
          <w:szCs w:val="20"/>
        </w:rPr>
        <w:t>privi</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lege</w:t>
      </w:r>
      <w:proofErr w:type="spellEnd"/>
      <w:r w:rsidRPr="008B0677">
        <w:rPr>
          <w:rFonts w:ascii="BemboStd" w:eastAsia="Times New Roman" w:hAnsi="BemboStd" w:cs="Times New Roman"/>
          <w:sz w:val="20"/>
          <w:szCs w:val="20"/>
        </w:rPr>
        <w:t xml:space="preserve"> rules early in the proceedings before any dispute has arisen, and to obtain the parties’ consent to such rules.</w:t>
      </w:r>
      <w:r w:rsidRPr="008B0677">
        <w:rPr>
          <w:rFonts w:ascii="BemboStd" w:eastAsia="Times New Roman" w:hAnsi="BemboStd" w:cs="Times New Roman"/>
          <w:position w:val="6"/>
          <w:sz w:val="12"/>
          <w:szCs w:val="12"/>
        </w:rPr>
        <w:t xml:space="preserve">23 </w:t>
      </w:r>
    </w:p>
    <w:p w14:paraId="6B1B23BB" w14:textId="77777777" w:rsidR="008B0677" w:rsidRPr="008B0677" w:rsidRDefault="008B0677" w:rsidP="008B0677">
      <w:pPr>
        <w:numPr>
          <w:ilvl w:val="1"/>
          <w:numId w:val="5"/>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21  The</w:t>
      </w:r>
      <w:proofErr w:type="gramEnd"/>
      <w:r w:rsidRPr="008B0677">
        <w:rPr>
          <w:rFonts w:ascii="BemboStd" w:eastAsia="Times New Roman" w:hAnsi="BemboStd" w:cs="Times New Roman"/>
          <w:sz w:val="16"/>
          <w:szCs w:val="16"/>
        </w:rPr>
        <w:t xml:space="preserve"> conditions for award annulment at Article V of the New York Convention are implemented in French law at Article 1520 of the Civil Procedure Code. </w:t>
      </w:r>
    </w:p>
    <w:p w14:paraId="0B36B80B" w14:textId="77777777" w:rsidR="008B0677" w:rsidRPr="008B0677" w:rsidRDefault="008B0677" w:rsidP="008B0677">
      <w:pPr>
        <w:numPr>
          <w:ilvl w:val="1"/>
          <w:numId w:val="5"/>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22  Article</w:t>
      </w:r>
      <w:proofErr w:type="gramEnd"/>
      <w:r w:rsidRPr="008B0677">
        <w:rPr>
          <w:rFonts w:ascii="BemboStd" w:eastAsia="Times New Roman" w:hAnsi="BemboStd" w:cs="Times New Roman"/>
          <w:sz w:val="16"/>
          <w:szCs w:val="16"/>
        </w:rPr>
        <w:t xml:space="preserve"> 2.1 of the IBA Rules (2010) provides for a mandatory consultation between the arbitral tribunal and the parties ‘at the earliest appropriate time in the proceedings.’ See Commentary on the IBA Rules, supra note 4, at 5. </w:t>
      </w:r>
    </w:p>
    <w:p w14:paraId="4D3F4241" w14:textId="77777777" w:rsidR="008B0677" w:rsidRPr="008B0677" w:rsidRDefault="008B0677" w:rsidP="008B0677">
      <w:pPr>
        <w:numPr>
          <w:ilvl w:val="1"/>
          <w:numId w:val="5"/>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23  But</w:t>
      </w:r>
      <w:proofErr w:type="gramEnd"/>
      <w:r w:rsidRPr="008B0677">
        <w:rPr>
          <w:rFonts w:ascii="BemboStd" w:eastAsia="Times New Roman" w:hAnsi="BemboStd" w:cs="Times New Roman"/>
          <w:sz w:val="16"/>
          <w:szCs w:val="16"/>
        </w:rPr>
        <w:t xml:space="preserve"> see Ibrahim </w:t>
      </w:r>
      <w:proofErr w:type="spellStart"/>
      <w:r w:rsidRPr="008B0677">
        <w:rPr>
          <w:rFonts w:ascii="BemboStd" w:eastAsia="Times New Roman" w:hAnsi="BemboStd" w:cs="Times New Roman"/>
          <w:sz w:val="16"/>
          <w:szCs w:val="16"/>
        </w:rPr>
        <w:t>Shehata,Attorney</w:t>
      </w:r>
      <w:proofErr w:type="spellEnd"/>
      <w:r w:rsidRPr="008B0677">
        <w:rPr>
          <w:rFonts w:ascii="BemboStd" w:eastAsia="Times New Roman" w:hAnsi="BemboStd" w:cs="Times New Roman"/>
          <w:sz w:val="16"/>
          <w:szCs w:val="16"/>
        </w:rPr>
        <w:t xml:space="preserve">-client privilege &amp; International Arbitration, </w:t>
      </w:r>
      <w:r w:rsidRPr="008B0677">
        <w:rPr>
          <w:rFonts w:ascii="BemboStd" w:eastAsia="Times New Roman" w:hAnsi="BemboStd" w:cs="Times New Roman"/>
          <w:i/>
          <w:iCs/>
          <w:sz w:val="16"/>
          <w:szCs w:val="16"/>
        </w:rPr>
        <w:t>Cardozo Journal of Conflict Resolution</w:t>
      </w:r>
      <w:r w:rsidRPr="008B0677">
        <w:rPr>
          <w:rFonts w:ascii="BemboStd" w:eastAsia="Times New Roman" w:hAnsi="BemboStd" w:cs="Times New Roman"/>
          <w:sz w:val="16"/>
          <w:szCs w:val="16"/>
        </w:rPr>
        <w:t xml:space="preserve">, May 2019, p. 369. </w:t>
      </w:r>
    </w:p>
    <w:p w14:paraId="0EDDA3AA" w14:textId="77777777" w:rsidR="008B0677" w:rsidRPr="008B0677" w:rsidRDefault="008B0677" w:rsidP="008B0677">
      <w:pPr>
        <w:spacing w:before="100" w:beforeAutospacing="1" w:after="100" w:afterAutospacing="1"/>
        <w:ind w:left="1440"/>
        <w:rPr>
          <w:rFonts w:ascii="BemboStd" w:eastAsia="Times New Roman" w:hAnsi="BemboStd" w:cs="Times New Roman"/>
          <w:sz w:val="20"/>
          <w:szCs w:val="20"/>
        </w:rPr>
      </w:pPr>
      <w:r w:rsidRPr="008B0677">
        <w:rPr>
          <w:rFonts w:ascii="BemboStd" w:eastAsia="Times New Roman" w:hAnsi="BemboStd" w:cs="Times New Roman"/>
          <w:sz w:val="22"/>
          <w:szCs w:val="22"/>
        </w:rPr>
        <w:t xml:space="preserve">93 </w:t>
      </w:r>
    </w:p>
    <w:p w14:paraId="67DC6162" w14:textId="6C095CED"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lastRenderedPageBreak/>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"/var/folders/3y/yz0s3nns5879wt_b0sx_g3rr0000gn/T/com.microsoft.Word/WebArchiveCopyPasteTempFiles/page13image25253696"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0ABFA8FA" wp14:editId="406133B4">
            <wp:extent cx="901700" cy="2743200"/>
            <wp:effectExtent l="0" t="0" r="0" b="0"/>
            <wp:docPr id="8" name="Picture 8" descr="page13image2525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13image252536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0C90E86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2E2FD42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7BEA291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rPr>
        <w:t xml:space="preserve">Recourse to national courts for assistance in obtaining disclosure </w:t>
      </w:r>
    </w:p>
    <w:p w14:paraId="61364FA9"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Tribunals and parties should also consider early in the proceedings whether national court discovery in aid of arbitration is appropriate, and if so, how it should be regulated by the tribunal. Fact-finding is at the </w:t>
      </w:r>
      <w:proofErr w:type="spellStart"/>
      <w:r w:rsidRPr="008B0677">
        <w:rPr>
          <w:rFonts w:ascii="BemboStd" w:eastAsia="Times New Roman" w:hAnsi="BemboStd" w:cs="Times New Roman"/>
          <w:sz w:val="20"/>
          <w:szCs w:val="20"/>
        </w:rPr>
        <w:t>centre</w:t>
      </w:r>
      <w:proofErr w:type="spellEnd"/>
      <w:r w:rsidRPr="008B0677">
        <w:rPr>
          <w:rFonts w:ascii="BemboStd" w:eastAsia="Times New Roman" w:hAnsi="BemboStd" w:cs="Times New Roman"/>
          <w:sz w:val="20"/>
          <w:szCs w:val="20"/>
        </w:rPr>
        <w:t xml:space="preserve"> of an arbitration, and the outcome can be greatly influenced by documents or witness testimony exchanged during the proceedings. Parties often commence arbitrations without having marshalled </w:t>
      </w:r>
      <w:proofErr w:type="gramStart"/>
      <w:r w:rsidRPr="008B0677">
        <w:rPr>
          <w:rFonts w:ascii="BemboStd" w:eastAsia="Times New Roman" w:hAnsi="BemboStd" w:cs="Times New Roman"/>
          <w:sz w:val="20"/>
          <w:szCs w:val="20"/>
        </w:rPr>
        <w:t>all of</w:t>
      </w:r>
      <w:proofErr w:type="gramEnd"/>
      <w:r w:rsidRPr="008B0677">
        <w:rPr>
          <w:rFonts w:ascii="BemboStd" w:eastAsia="Times New Roman" w:hAnsi="BemboStd" w:cs="Times New Roman"/>
          <w:sz w:val="20"/>
          <w:szCs w:val="20"/>
        </w:rPr>
        <w:t xml:space="preserve"> the facts that support their claim, or to better understand the position of their adversary, and the exchange of </w:t>
      </w:r>
      <w:proofErr w:type="spellStart"/>
      <w:r w:rsidRPr="008B0677">
        <w:rPr>
          <w:rFonts w:ascii="BemboStd" w:eastAsia="Times New Roman" w:hAnsi="BemboStd" w:cs="Times New Roman"/>
          <w:sz w:val="20"/>
          <w:szCs w:val="20"/>
        </w:rPr>
        <w:t>informa</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tion</w:t>
      </w:r>
      <w:proofErr w:type="spellEnd"/>
      <w:r w:rsidRPr="008B0677">
        <w:rPr>
          <w:rFonts w:ascii="BemboStd" w:eastAsia="Times New Roman" w:hAnsi="BemboStd" w:cs="Times New Roman"/>
          <w:sz w:val="20"/>
          <w:szCs w:val="20"/>
        </w:rPr>
        <w:t xml:space="preserve"> through the discovery process can help narrow disputed factual and legal claims, and even lead to settlement. </w:t>
      </w:r>
    </w:p>
    <w:p w14:paraId="7B9AE22E"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The IBA rules on disclosure provide an invaluable framework for assessing discovery claims in arbitration, and have become a widely used resource for tribunals and parties alike.</w:t>
      </w:r>
      <w:r w:rsidRPr="008B0677">
        <w:rPr>
          <w:rFonts w:ascii="BemboStd" w:eastAsia="Times New Roman" w:hAnsi="BemboStd" w:cs="Times New Roman"/>
          <w:position w:val="6"/>
          <w:sz w:val="12"/>
          <w:szCs w:val="12"/>
        </w:rPr>
        <w:t xml:space="preserve">24 </w:t>
      </w:r>
      <w:r w:rsidRPr="008B0677">
        <w:rPr>
          <w:rFonts w:ascii="BemboStd" w:eastAsia="Times New Roman" w:hAnsi="BemboStd" w:cs="Times New Roman"/>
          <w:sz w:val="20"/>
          <w:szCs w:val="20"/>
        </w:rPr>
        <w:t xml:space="preserve">But they do not address how an arbitral tribunal may regulate – or even allow – recourse by the parties to national courts for fact </w:t>
      </w:r>
      <w:proofErr w:type="spellStart"/>
      <w:r w:rsidRPr="008B0677">
        <w:rPr>
          <w:rFonts w:ascii="BemboStd" w:eastAsia="Times New Roman" w:hAnsi="BemboStd" w:cs="Times New Roman"/>
          <w:sz w:val="20"/>
          <w:szCs w:val="20"/>
        </w:rPr>
        <w:t>discovery.This</w:t>
      </w:r>
      <w:proofErr w:type="spellEnd"/>
      <w:r w:rsidRPr="008B0677">
        <w:rPr>
          <w:rFonts w:ascii="BemboStd" w:eastAsia="Times New Roman" w:hAnsi="BemboStd" w:cs="Times New Roman"/>
          <w:sz w:val="20"/>
          <w:szCs w:val="20"/>
        </w:rPr>
        <w:t xml:space="preserve"> is particularly significant in IP arbitration, where access to an adversary’s internal documents, such as laboratory testing and meeting notes, engineer or accident reports, emails with patent agents, insurance claims and other internal documents, can often reveal whether a claim is well founded. </w:t>
      </w:r>
    </w:p>
    <w:p w14:paraId="7FE3EC1A"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Below, we discuss two examples of national laws that may allow for such disclosure, </w:t>
      </w:r>
      <w:proofErr w:type="spellStart"/>
      <w:r w:rsidRPr="008B0677">
        <w:rPr>
          <w:rFonts w:ascii="BemboStd" w:eastAsia="Times New Roman" w:hAnsi="BemboStd" w:cs="Times New Roman"/>
          <w:sz w:val="20"/>
          <w:szCs w:val="20"/>
        </w:rPr>
        <w:t>fol</w:t>
      </w:r>
      <w:proofErr w:type="spellEnd"/>
      <w:r w:rsidRPr="008B0677">
        <w:rPr>
          <w:rFonts w:ascii="BemboStd" w:eastAsia="Times New Roman" w:hAnsi="BemboStd" w:cs="Times New Roman"/>
          <w:sz w:val="20"/>
          <w:szCs w:val="20"/>
        </w:rPr>
        <w:t xml:space="preserve">- lowed by a recommendation on how a tribunal might address this issue. </w:t>
      </w:r>
    </w:p>
    <w:p w14:paraId="65E5A92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Federal law in the United States permits any party or other interested person involved in proceedings before a foreign or international tribunal, or the tribunal itself, to make a request to a US federal district court to compel discovery from a person or entity found in the district in which the court sits. For years, however, there have been disagreements as to whether international arbitration proceedings constitute foreign or international tribunals under the statute. </w:t>
      </w:r>
    </w:p>
    <w:p w14:paraId="3696A21F"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Prior to 2004, the Second and Fifth Circuits had ruled that Section 1782 could not be used to obtain discovery in aid of private </w:t>
      </w:r>
      <w:proofErr w:type="spellStart"/>
      <w:proofErr w:type="gramStart"/>
      <w:r w:rsidRPr="008B0677">
        <w:rPr>
          <w:rFonts w:ascii="BemboStd" w:eastAsia="Times New Roman" w:hAnsi="BemboStd" w:cs="Times New Roman"/>
          <w:sz w:val="20"/>
          <w:szCs w:val="20"/>
        </w:rPr>
        <w:t>arbitration.This</w:t>
      </w:r>
      <w:proofErr w:type="spellEnd"/>
      <w:proofErr w:type="gramEnd"/>
      <w:r w:rsidRPr="008B0677">
        <w:rPr>
          <w:rFonts w:ascii="BemboStd" w:eastAsia="Times New Roman" w:hAnsi="BemboStd" w:cs="Times New Roman"/>
          <w:sz w:val="20"/>
          <w:szCs w:val="20"/>
        </w:rPr>
        <w:t xml:space="preserve"> year, the Second Circuit had an opportunity to revisit the issue in its decision of </w:t>
      </w:r>
      <w:r w:rsidRPr="008B0677">
        <w:rPr>
          <w:rFonts w:ascii="BemboStd" w:eastAsia="Times New Roman" w:hAnsi="BemboStd" w:cs="Times New Roman"/>
          <w:i/>
          <w:iCs/>
          <w:sz w:val="20"/>
          <w:szCs w:val="20"/>
        </w:rPr>
        <w:t xml:space="preserve">In </w:t>
      </w:r>
      <w:proofErr w:type="spellStart"/>
      <w:r w:rsidRPr="008B0677">
        <w:rPr>
          <w:rFonts w:ascii="BemboStd" w:eastAsia="Times New Roman" w:hAnsi="BemboStd" w:cs="Times New Roman"/>
          <w:i/>
          <w:iCs/>
          <w:sz w:val="20"/>
          <w:szCs w:val="20"/>
        </w:rPr>
        <w:t>re:Application</w:t>
      </w:r>
      <w:proofErr w:type="spellEnd"/>
      <w:r w:rsidRPr="008B0677">
        <w:rPr>
          <w:rFonts w:ascii="BemboStd" w:eastAsia="Times New Roman" w:hAnsi="BemboStd" w:cs="Times New Roman"/>
          <w:i/>
          <w:iCs/>
          <w:sz w:val="20"/>
          <w:szCs w:val="20"/>
        </w:rPr>
        <w:t xml:space="preserve"> and Petition of </w:t>
      </w:r>
      <w:proofErr w:type="spellStart"/>
      <w:r w:rsidRPr="008B0677">
        <w:rPr>
          <w:rFonts w:ascii="BemboStd" w:eastAsia="Times New Roman" w:hAnsi="BemboStd" w:cs="Times New Roman"/>
          <w:i/>
          <w:iCs/>
          <w:sz w:val="20"/>
          <w:szCs w:val="20"/>
        </w:rPr>
        <w:t>Hanwei</w:t>
      </w:r>
      <w:proofErr w:type="spellEnd"/>
      <w:r w:rsidRPr="008B0677">
        <w:rPr>
          <w:rFonts w:ascii="BemboStd" w:eastAsia="Times New Roman" w:hAnsi="BemboStd" w:cs="Times New Roman"/>
          <w:i/>
          <w:iCs/>
          <w:sz w:val="20"/>
          <w:szCs w:val="20"/>
        </w:rPr>
        <w:t xml:space="preserve"> Guo</w:t>
      </w:r>
      <w:r w:rsidRPr="008B0677">
        <w:rPr>
          <w:rFonts w:ascii="BemboStd" w:eastAsia="Times New Roman" w:hAnsi="BemboStd" w:cs="Times New Roman"/>
          <w:sz w:val="20"/>
          <w:szCs w:val="20"/>
        </w:rPr>
        <w:t>,</w:t>
      </w:r>
      <w:r w:rsidRPr="008B0677">
        <w:rPr>
          <w:rFonts w:ascii="BemboStd" w:eastAsia="Times New Roman" w:hAnsi="BemboStd" w:cs="Times New Roman"/>
          <w:position w:val="6"/>
          <w:sz w:val="12"/>
          <w:szCs w:val="12"/>
        </w:rPr>
        <w:t xml:space="preserve">25 </w:t>
      </w:r>
      <w:r w:rsidRPr="008B0677">
        <w:rPr>
          <w:rFonts w:ascii="BemboStd" w:eastAsia="Times New Roman" w:hAnsi="BemboStd" w:cs="Times New Roman"/>
          <w:sz w:val="20"/>
          <w:szCs w:val="20"/>
        </w:rPr>
        <w:t xml:space="preserve">in which it declined a request for discovery assistance in connection with a com- </w:t>
      </w:r>
      <w:proofErr w:type="spellStart"/>
      <w:r w:rsidRPr="008B0677">
        <w:rPr>
          <w:rFonts w:ascii="BemboStd" w:eastAsia="Times New Roman" w:hAnsi="BemboStd" w:cs="Times New Roman"/>
          <w:sz w:val="20"/>
          <w:szCs w:val="20"/>
        </w:rPr>
        <w:t>mercial</w:t>
      </w:r>
      <w:proofErr w:type="spellEnd"/>
      <w:r w:rsidRPr="008B0677">
        <w:rPr>
          <w:rFonts w:ascii="BemboStd" w:eastAsia="Times New Roman" w:hAnsi="BemboStd" w:cs="Times New Roman"/>
          <w:sz w:val="20"/>
          <w:szCs w:val="20"/>
        </w:rPr>
        <w:t xml:space="preserve"> arbitration, consistent with its past precedent.</w:t>
      </w:r>
      <w:r w:rsidRPr="008B0677">
        <w:rPr>
          <w:rFonts w:ascii="BemboStd" w:eastAsia="Times New Roman" w:hAnsi="BemboStd" w:cs="Times New Roman"/>
          <w:position w:val="6"/>
          <w:sz w:val="12"/>
          <w:szCs w:val="12"/>
        </w:rPr>
        <w:t xml:space="preserve">26 </w:t>
      </w:r>
    </w:p>
    <w:p w14:paraId="4BD6432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lastRenderedPageBreak/>
        <w:t xml:space="preserve">The US Supreme Court ruled in 2004, in </w:t>
      </w:r>
      <w:r w:rsidRPr="008B0677">
        <w:rPr>
          <w:rFonts w:ascii="BemboStd" w:eastAsia="Times New Roman" w:hAnsi="BemboStd" w:cs="Times New Roman"/>
          <w:i/>
          <w:iCs/>
          <w:sz w:val="20"/>
          <w:szCs w:val="20"/>
        </w:rPr>
        <w:t>Intel v. AMD</w:t>
      </w:r>
      <w:r w:rsidRPr="008B0677">
        <w:rPr>
          <w:rFonts w:ascii="BemboStd" w:eastAsia="Times New Roman" w:hAnsi="BemboStd" w:cs="Times New Roman"/>
          <w:sz w:val="20"/>
          <w:szCs w:val="20"/>
        </w:rPr>
        <w:t>,</w:t>
      </w:r>
      <w:r w:rsidRPr="008B0677">
        <w:rPr>
          <w:rFonts w:ascii="BemboStd" w:eastAsia="Times New Roman" w:hAnsi="BemboStd" w:cs="Times New Roman"/>
          <w:position w:val="6"/>
          <w:sz w:val="12"/>
          <w:szCs w:val="12"/>
        </w:rPr>
        <w:t xml:space="preserve">27 </w:t>
      </w:r>
      <w:r w:rsidRPr="008B0677">
        <w:rPr>
          <w:rFonts w:ascii="BemboStd" w:eastAsia="Times New Roman" w:hAnsi="BemboStd" w:cs="Times New Roman"/>
          <w:sz w:val="20"/>
          <w:szCs w:val="20"/>
        </w:rPr>
        <w:t xml:space="preserve">that a complaining party that had filed an antitrust complaint before the EU competition authorities could obtain discovery from Intel in California of documents that had been compiled by Intel for use in that European </w:t>
      </w:r>
      <w:proofErr w:type="spellStart"/>
      <w:proofErr w:type="gramStart"/>
      <w:r w:rsidRPr="008B0677">
        <w:rPr>
          <w:rFonts w:ascii="BemboStd" w:eastAsia="Times New Roman" w:hAnsi="BemboStd" w:cs="Times New Roman"/>
          <w:sz w:val="20"/>
          <w:szCs w:val="20"/>
        </w:rPr>
        <w:t>investigation.The</w:t>
      </w:r>
      <w:proofErr w:type="spellEnd"/>
      <w:proofErr w:type="gramEnd"/>
      <w:r w:rsidRPr="008B0677">
        <w:rPr>
          <w:rFonts w:ascii="BemboStd" w:eastAsia="Times New Roman" w:hAnsi="BemboStd" w:cs="Times New Roman"/>
          <w:sz w:val="20"/>
          <w:szCs w:val="20"/>
        </w:rPr>
        <w:t xml:space="preserve"> Supreme Court found that the Directorate General for Competition of the European Commission was a tribunal under Section 1782. </w:t>
      </w:r>
    </w:p>
    <w:p w14:paraId="75DAD202" w14:textId="77777777" w:rsidR="008B0677" w:rsidRPr="008B0677" w:rsidRDefault="008B0677" w:rsidP="008B0677">
      <w:pPr>
        <w:numPr>
          <w:ilvl w:val="0"/>
          <w:numId w:val="6"/>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24  Supra</w:t>
      </w:r>
      <w:proofErr w:type="gramEnd"/>
      <w:r w:rsidRPr="008B0677">
        <w:rPr>
          <w:rFonts w:ascii="BemboStd" w:eastAsia="Times New Roman" w:hAnsi="BemboStd" w:cs="Times New Roman"/>
          <w:sz w:val="16"/>
          <w:szCs w:val="16"/>
        </w:rPr>
        <w:t xml:space="preserve">, note 4. </w:t>
      </w:r>
    </w:p>
    <w:p w14:paraId="66B78252" w14:textId="77777777" w:rsidR="008B0677" w:rsidRPr="008B0677" w:rsidRDefault="008B0677" w:rsidP="008B0677">
      <w:pPr>
        <w:numPr>
          <w:ilvl w:val="0"/>
          <w:numId w:val="6"/>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25  </w:t>
      </w:r>
      <w:r w:rsidRPr="008B0677">
        <w:rPr>
          <w:rFonts w:ascii="BemboStd" w:eastAsia="Times New Roman" w:hAnsi="BemboStd" w:cs="Times New Roman"/>
          <w:i/>
          <w:iCs/>
          <w:sz w:val="16"/>
          <w:szCs w:val="16"/>
        </w:rPr>
        <w:t>In</w:t>
      </w:r>
      <w:proofErr w:type="gramEnd"/>
      <w:r w:rsidRPr="008B0677">
        <w:rPr>
          <w:rFonts w:ascii="BemboStd" w:eastAsia="Times New Roman" w:hAnsi="BemboStd" w:cs="Times New Roman"/>
          <w:i/>
          <w:iCs/>
          <w:sz w:val="16"/>
          <w:szCs w:val="16"/>
        </w:rPr>
        <w:t xml:space="preserve"> re: Application and Petition of </w:t>
      </w:r>
      <w:proofErr w:type="spellStart"/>
      <w:r w:rsidRPr="008B0677">
        <w:rPr>
          <w:rFonts w:ascii="BemboStd" w:eastAsia="Times New Roman" w:hAnsi="BemboStd" w:cs="Times New Roman"/>
          <w:i/>
          <w:iCs/>
          <w:sz w:val="16"/>
          <w:szCs w:val="16"/>
        </w:rPr>
        <w:t>Hanwei</w:t>
      </w:r>
      <w:proofErr w:type="spellEnd"/>
      <w:r w:rsidRPr="008B0677">
        <w:rPr>
          <w:rFonts w:ascii="BemboStd" w:eastAsia="Times New Roman" w:hAnsi="BemboStd" w:cs="Times New Roman"/>
          <w:i/>
          <w:iCs/>
          <w:sz w:val="16"/>
          <w:szCs w:val="16"/>
        </w:rPr>
        <w:t xml:space="preserve"> Guo</w:t>
      </w:r>
      <w:r w:rsidRPr="008B0677">
        <w:rPr>
          <w:rFonts w:ascii="BemboStd" w:eastAsia="Times New Roman" w:hAnsi="BemboStd" w:cs="Times New Roman"/>
          <w:sz w:val="16"/>
          <w:szCs w:val="16"/>
        </w:rPr>
        <w:t xml:space="preserve">, Case No. 19-781 (2d Cir. 2020). </w:t>
      </w:r>
    </w:p>
    <w:p w14:paraId="290F7DB3" w14:textId="77777777" w:rsidR="008B0677" w:rsidRPr="008B0677" w:rsidRDefault="008B0677" w:rsidP="008B0677">
      <w:pPr>
        <w:numPr>
          <w:ilvl w:val="0"/>
          <w:numId w:val="6"/>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26  The</w:t>
      </w:r>
      <w:proofErr w:type="gramEnd"/>
      <w:r w:rsidRPr="008B0677">
        <w:rPr>
          <w:rFonts w:ascii="BemboStd" w:eastAsia="Times New Roman" w:hAnsi="BemboStd" w:cs="Times New Roman"/>
          <w:sz w:val="16"/>
          <w:szCs w:val="16"/>
        </w:rPr>
        <w:t xml:space="preserve"> Second Circuit has maintained this position, despite the resistance of New York arbitration practitioners, </w:t>
      </w:r>
    </w:p>
    <w:p w14:paraId="525603CF"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see ‘28 U.S.C. § 1782 as a means of obtaining discovery in aid of international commercial arbitration – </w:t>
      </w:r>
    </w:p>
    <w:p w14:paraId="48DCF67D"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applicability and best practices’ (2008), http://www.nycbar.org/pdf/report/1782_Report.pdf. </w:t>
      </w:r>
    </w:p>
    <w:p w14:paraId="5FE8EE87" w14:textId="77777777" w:rsidR="008B0677" w:rsidRPr="008B0677" w:rsidRDefault="008B0677" w:rsidP="008B0677">
      <w:pPr>
        <w:numPr>
          <w:ilvl w:val="0"/>
          <w:numId w:val="6"/>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27  </w:t>
      </w:r>
      <w:r w:rsidRPr="008B0677">
        <w:rPr>
          <w:rFonts w:ascii="BemboStd" w:eastAsia="Times New Roman" w:hAnsi="BemboStd" w:cs="Times New Roman"/>
          <w:i/>
          <w:iCs/>
          <w:sz w:val="16"/>
          <w:szCs w:val="16"/>
        </w:rPr>
        <w:t>Intel</w:t>
      </w:r>
      <w:proofErr w:type="gramEnd"/>
      <w:r w:rsidRPr="008B0677">
        <w:rPr>
          <w:rFonts w:ascii="BemboStd" w:eastAsia="Times New Roman" w:hAnsi="BemboStd" w:cs="Times New Roman"/>
          <w:i/>
          <w:iCs/>
          <w:sz w:val="16"/>
          <w:szCs w:val="16"/>
        </w:rPr>
        <w:t xml:space="preserve"> Corp. </w:t>
      </w:r>
      <w:proofErr w:type="spellStart"/>
      <w:r w:rsidRPr="008B0677">
        <w:rPr>
          <w:rFonts w:ascii="BemboStd" w:eastAsia="Times New Roman" w:hAnsi="BemboStd" w:cs="Times New Roman"/>
          <w:i/>
          <w:iCs/>
          <w:sz w:val="16"/>
          <w:szCs w:val="16"/>
        </w:rPr>
        <w:t>v.Advanced</w:t>
      </w:r>
      <w:proofErr w:type="spellEnd"/>
      <w:r w:rsidRPr="008B0677">
        <w:rPr>
          <w:rFonts w:ascii="BemboStd" w:eastAsia="Times New Roman" w:hAnsi="BemboStd" w:cs="Times New Roman"/>
          <w:i/>
          <w:iCs/>
          <w:sz w:val="16"/>
          <w:szCs w:val="16"/>
        </w:rPr>
        <w:t xml:space="preserve"> Micro Devices, Inc.</w:t>
      </w:r>
      <w:r w:rsidRPr="008B0677">
        <w:rPr>
          <w:rFonts w:ascii="BemboStd" w:eastAsia="Times New Roman" w:hAnsi="BemboStd" w:cs="Times New Roman"/>
          <w:sz w:val="16"/>
          <w:szCs w:val="16"/>
        </w:rPr>
        <w:t xml:space="preserve">, 542 US 241 (2004). </w:t>
      </w:r>
    </w:p>
    <w:p w14:paraId="06139813"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94 </w:t>
      </w:r>
    </w:p>
    <w:p w14:paraId="38BDBB03" w14:textId="255F9314"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"/var/folders/3y/yz0s3nns5879wt_b0sx_g3rr0000gn/T/com.microsoft.Word/WebArchiveCopyPasteTempFiles/page14image25274304"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75C22CAD" wp14:editId="39484A85">
            <wp:extent cx="901700" cy="2743200"/>
            <wp:effectExtent l="0" t="0" r="0" b="0"/>
            <wp:docPr id="7" name="Picture 7" descr="page14image2527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14image2527430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61BC3F1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0DCCA5B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7EFDB02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Since </w:t>
      </w:r>
      <w:r w:rsidRPr="008B0677">
        <w:rPr>
          <w:rFonts w:ascii="BemboStd" w:eastAsia="Times New Roman" w:hAnsi="BemboStd" w:cs="Times New Roman"/>
          <w:i/>
          <w:iCs/>
          <w:sz w:val="20"/>
          <w:szCs w:val="20"/>
        </w:rPr>
        <w:t>Intel</w:t>
      </w:r>
      <w:r w:rsidRPr="008B0677">
        <w:rPr>
          <w:rFonts w:ascii="BemboStd" w:eastAsia="Times New Roman" w:hAnsi="BemboStd" w:cs="Times New Roman"/>
          <w:sz w:val="20"/>
          <w:szCs w:val="20"/>
        </w:rPr>
        <w:t xml:space="preserve">, US courts of appeal have differed on whether private arbitrations fall within the scope of Section 1782. In 2009, the Fifth Circuit reaffirmed its previous narrow inter- </w:t>
      </w:r>
      <w:proofErr w:type="spellStart"/>
      <w:r w:rsidRPr="008B0677">
        <w:rPr>
          <w:rFonts w:ascii="BemboStd" w:eastAsia="Times New Roman" w:hAnsi="BemboStd" w:cs="Times New Roman"/>
          <w:sz w:val="20"/>
          <w:szCs w:val="20"/>
        </w:rPr>
        <w:t>pretation</w:t>
      </w:r>
      <w:proofErr w:type="spellEnd"/>
      <w:r w:rsidRPr="008B0677">
        <w:rPr>
          <w:rFonts w:ascii="BemboStd" w:eastAsia="Times New Roman" w:hAnsi="BemboStd" w:cs="Times New Roman"/>
          <w:sz w:val="20"/>
          <w:szCs w:val="20"/>
        </w:rPr>
        <w:t xml:space="preserve"> that private foreign arbitrations do not fall within this scope,</w:t>
      </w:r>
      <w:r w:rsidRPr="008B0677">
        <w:rPr>
          <w:rFonts w:ascii="BemboStd" w:eastAsia="Times New Roman" w:hAnsi="BemboStd" w:cs="Times New Roman"/>
          <w:position w:val="6"/>
          <w:sz w:val="12"/>
          <w:szCs w:val="12"/>
        </w:rPr>
        <w:t xml:space="preserve">28 </w:t>
      </w:r>
      <w:r w:rsidRPr="008B0677">
        <w:rPr>
          <w:rFonts w:ascii="BemboStd" w:eastAsia="Times New Roman" w:hAnsi="BemboStd" w:cs="Times New Roman"/>
          <w:sz w:val="20"/>
          <w:szCs w:val="20"/>
        </w:rPr>
        <w:t>while two circuits considering the question for the first time, the Sixth</w:t>
      </w:r>
      <w:r w:rsidRPr="008B0677">
        <w:rPr>
          <w:rFonts w:ascii="BemboStd" w:eastAsia="Times New Roman" w:hAnsi="BemboStd" w:cs="Times New Roman"/>
          <w:position w:val="6"/>
          <w:sz w:val="12"/>
          <w:szCs w:val="12"/>
        </w:rPr>
        <w:t xml:space="preserve">29 </w:t>
      </w:r>
      <w:r w:rsidRPr="008B0677">
        <w:rPr>
          <w:rFonts w:ascii="BemboStd" w:eastAsia="Times New Roman" w:hAnsi="BemboStd" w:cs="Times New Roman"/>
          <w:sz w:val="20"/>
          <w:szCs w:val="20"/>
        </w:rPr>
        <w:t>and Fourth Circuits,</w:t>
      </w:r>
      <w:r w:rsidRPr="008B0677">
        <w:rPr>
          <w:rFonts w:ascii="BemboStd" w:eastAsia="Times New Roman" w:hAnsi="BemboStd" w:cs="Times New Roman"/>
          <w:position w:val="6"/>
          <w:sz w:val="12"/>
          <w:szCs w:val="12"/>
        </w:rPr>
        <w:t xml:space="preserve">30 </w:t>
      </w:r>
      <w:r w:rsidRPr="008B0677">
        <w:rPr>
          <w:rFonts w:ascii="BemboStd" w:eastAsia="Times New Roman" w:hAnsi="BemboStd" w:cs="Times New Roman"/>
          <w:sz w:val="20"/>
          <w:szCs w:val="20"/>
        </w:rPr>
        <w:t xml:space="preserve">reached the opposite conclusion (in 2019 and 2020, respectively). </w:t>
      </w:r>
    </w:p>
    <w:p w14:paraId="655B7FC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The Seventh Circuit</w:t>
      </w:r>
      <w:r w:rsidRPr="008B0677">
        <w:rPr>
          <w:rFonts w:ascii="BemboStd" w:eastAsia="Times New Roman" w:hAnsi="BemboStd" w:cs="Times New Roman"/>
          <w:position w:val="6"/>
          <w:sz w:val="12"/>
          <w:szCs w:val="12"/>
        </w:rPr>
        <w:t xml:space="preserve">31 </w:t>
      </w:r>
      <w:r w:rsidRPr="008B0677">
        <w:rPr>
          <w:rFonts w:ascii="BemboStd" w:eastAsia="Times New Roman" w:hAnsi="BemboStd" w:cs="Times New Roman"/>
          <w:sz w:val="20"/>
          <w:szCs w:val="20"/>
        </w:rPr>
        <w:t xml:space="preserve">has now weighed in on the issue in a case that concerns the same parties and arbitration as the Fourth Circuit decision. Notably, the Seventh Circuit reached the opposite conclusion to the Fourth Circuit, thereby aligning itself with the Second and Fifth Circuits in determining that Section 1782 does not apply to private arbitral tribunals. </w:t>
      </w:r>
    </w:p>
    <w:p w14:paraId="024153A7"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The uncertainty created by this law requires parties to international commercial arbitrations to carefully consider their discovery options in the United </w:t>
      </w:r>
      <w:proofErr w:type="spellStart"/>
      <w:r w:rsidRPr="008B0677">
        <w:rPr>
          <w:rFonts w:ascii="BemboStd" w:eastAsia="Times New Roman" w:hAnsi="BemboStd" w:cs="Times New Roman"/>
          <w:sz w:val="20"/>
          <w:szCs w:val="20"/>
        </w:rPr>
        <w:t>States.This</w:t>
      </w:r>
      <w:proofErr w:type="spellEnd"/>
      <w:r w:rsidRPr="008B0677">
        <w:rPr>
          <w:rFonts w:ascii="BemboStd" w:eastAsia="Times New Roman" w:hAnsi="BemboStd" w:cs="Times New Roman"/>
          <w:sz w:val="20"/>
          <w:szCs w:val="20"/>
        </w:rPr>
        <w:t xml:space="preserve"> situ- </w:t>
      </w:r>
      <w:proofErr w:type="spellStart"/>
      <w:r w:rsidRPr="008B0677">
        <w:rPr>
          <w:rFonts w:ascii="BemboStd" w:eastAsia="Times New Roman" w:hAnsi="BemboStd" w:cs="Times New Roman"/>
          <w:sz w:val="20"/>
          <w:szCs w:val="20"/>
        </w:rPr>
        <w:t>ation</w:t>
      </w:r>
      <w:proofErr w:type="spellEnd"/>
      <w:r w:rsidRPr="008B0677">
        <w:rPr>
          <w:rFonts w:ascii="BemboStd" w:eastAsia="Times New Roman" w:hAnsi="BemboStd" w:cs="Times New Roman"/>
          <w:sz w:val="20"/>
          <w:szCs w:val="20"/>
        </w:rPr>
        <w:t xml:space="preserve"> of clear splits among circuit courts of </w:t>
      </w:r>
      <w:r w:rsidRPr="008B0677">
        <w:rPr>
          <w:rFonts w:ascii="BemboStd" w:eastAsia="Times New Roman" w:hAnsi="BemboStd" w:cs="Times New Roman"/>
          <w:sz w:val="20"/>
          <w:szCs w:val="20"/>
        </w:rPr>
        <w:lastRenderedPageBreak/>
        <w:t xml:space="preserve">appeal can only be resolved by the Supreme Court. However, this split has existed for years without once attracting the attention of the Supreme Court, and so it is likely that this discovery tool will not be uniformly available in all US jurisdictions to parties in international arbitration for the foreseeable future. </w:t>
      </w:r>
    </w:p>
    <w:p w14:paraId="1F32F228"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The author of Section 1782 stated that when the statute was revised in 1964, the hope was that, by allowing foreign tribunals to experience the advantages of US discovery through this tool, they would be inspired to adopt in their own countries broader avail- ability of pretrial discovery; the objective was to lead by example, even if foreign countries did not then offer reciprocal discovery in aid of US litigation.</w:t>
      </w:r>
      <w:r w:rsidRPr="008B0677">
        <w:rPr>
          <w:rFonts w:ascii="BemboStd" w:eastAsia="Times New Roman" w:hAnsi="BemboStd" w:cs="Times New Roman"/>
          <w:position w:val="6"/>
          <w:sz w:val="12"/>
          <w:szCs w:val="12"/>
        </w:rPr>
        <w:t xml:space="preserve">32 </w:t>
      </w:r>
    </w:p>
    <w:p w14:paraId="00809CC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In practice, many countries have efficient discovery tools that can be used in aid of international arbitration, even where the seat of the arbitration </w:t>
      </w:r>
      <w:proofErr w:type="gramStart"/>
      <w:r w:rsidRPr="008B0677">
        <w:rPr>
          <w:rFonts w:ascii="BemboStd" w:eastAsia="Times New Roman" w:hAnsi="BemboStd" w:cs="Times New Roman"/>
          <w:sz w:val="20"/>
          <w:szCs w:val="20"/>
        </w:rPr>
        <w:t>is located in</w:t>
      </w:r>
      <w:proofErr w:type="gramEnd"/>
      <w:r w:rsidRPr="008B0677">
        <w:rPr>
          <w:rFonts w:ascii="BemboStd" w:eastAsia="Times New Roman" w:hAnsi="BemboStd" w:cs="Times New Roman"/>
          <w:sz w:val="20"/>
          <w:szCs w:val="20"/>
        </w:rPr>
        <w:t xml:space="preserve"> a foreign country. In France, Article 145 of the Code of Civil Procedure provides the framework for court-ordered experts that can be used prior to any litigation or arbitration proceeding with a view to obtaining relevant documents related to potential </w:t>
      </w:r>
      <w:proofErr w:type="spellStart"/>
      <w:r w:rsidRPr="008B0677">
        <w:rPr>
          <w:rFonts w:ascii="BemboStd" w:eastAsia="Times New Roman" w:hAnsi="BemboStd" w:cs="Times New Roman"/>
          <w:sz w:val="20"/>
          <w:szCs w:val="20"/>
        </w:rPr>
        <w:t>claims.Article</w:t>
      </w:r>
      <w:proofErr w:type="spellEnd"/>
      <w:r w:rsidRPr="008B0677">
        <w:rPr>
          <w:rFonts w:ascii="BemboStd" w:eastAsia="Times New Roman" w:hAnsi="BemboStd" w:cs="Times New Roman"/>
          <w:sz w:val="20"/>
          <w:szCs w:val="20"/>
        </w:rPr>
        <w:t xml:space="preserve"> 145 enables a party to request from the French judge the production of documents that are held by another party and located in France – for use in French or foreign proceedings – without needing to prove ‘urgency’, which would generally be required in most other forms of summary court proceedings. </w:t>
      </w:r>
    </w:p>
    <w:p w14:paraId="610AA01B"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The procedure is typically started on motion by a party before the French judge, who will consider the types of discovery requested and hear the parties, and may then issue an order for production of documentary and testimonial </w:t>
      </w:r>
      <w:proofErr w:type="spellStart"/>
      <w:r w:rsidRPr="008B0677">
        <w:rPr>
          <w:rFonts w:ascii="BemboStd" w:eastAsia="Times New Roman" w:hAnsi="BemboStd" w:cs="Times New Roman"/>
          <w:sz w:val="20"/>
          <w:szCs w:val="20"/>
        </w:rPr>
        <w:t>evidence.The</w:t>
      </w:r>
      <w:proofErr w:type="spellEnd"/>
      <w:r w:rsidRPr="008B0677">
        <w:rPr>
          <w:rFonts w:ascii="BemboStd" w:eastAsia="Times New Roman" w:hAnsi="BemboStd" w:cs="Times New Roman"/>
          <w:sz w:val="20"/>
          <w:szCs w:val="20"/>
        </w:rPr>
        <w:t xml:space="preserve"> requests must be </w:t>
      </w:r>
      <w:proofErr w:type="spellStart"/>
      <w:r w:rsidRPr="008B0677">
        <w:rPr>
          <w:rFonts w:ascii="BemboStd" w:eastAsia="Times New Roman" w:hAnsi="BemboStd" w:cs="Times New Roman"/>
          <w:sz w:val="20"/>
          <w:szCs w:val="20"/>
        </w:rPr>
        <w:t>nar</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rowly</w:t>
      </w:r>
      <w:proofErr w:type="spellEnd"/>
      <w:r w:rsidRPr="008B0677">
        <w:rPr>
          <w:rFonts w:ascii="BemboStd" w:eastAsia="Times New Roman" w:hAnsi="BemboStd" w:cs="Times New Roman"/>
          <w:sz w:val="20"/>
          <w:szCs w:val="20"/>
        </w:rPr>
        <w:t xml:space="preserve"> tailored but courts regularly accept requests for categories of documents provided such requests are limited in scope and relevant to the underlying </w:t>
      </w:r>
      <w:proofErr w:type="spellStart"/>
      <w:r w:rsidRPr="008B0677">
        <w:rPr>
          <w:rFonts w:ascii="BemboStd" w:eastAsia="Times New Roman" w:hAnsi="BemboStd" w:cs="Times New Roman"/>
          <w:sz w:val="20"/>
          <w:szCs w:val="20"/>
        </w:rPr>
        <w:t>claim.The</w:t>
      </w:r>
      <w:proofErr w:type="spellEnd"/>
      <w:r w:rsidRPr="008B0677">
        <w:rPr>
          <w:rFonts w:ascii="BemboStd" w:eastAsia="Times New Roman" w:hAnsi="BemboStd" w:cs="Times New Roman"/>
          <w:sz w:val="20"/>
          <w:szCs w:val="20"/>
        </w:rPr>
        <w:t xml:space="preserve"> court will appoint an expert who will gather the evidence ordered to be produced, and will make the evidence available to the parties. </w:t>
      </w:r>
    </w:p>
    <w:p w14:paraId="6FAD1FA5" w14:textId="77777777" w:rsidR="008B0677" w:rsidRPr="008B0677" w:rsidRDefault="008B0677" w:rsidP="008B0677">
      <w:pPr>
        <w:numPr>
          <w:ilvl w:val="0"/>
          <w:numId w:val="7"/>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28  </w:t>
      </w:r>
      <w:r w:rsidRPr="008B0677">
        <w:rPr>
          <w:rFonts w:ascii="BemboStd" w:eastAsia="Times New Roman" w:hAnsi="BemboStd" w:cs="Times New Roman"/>
          <w:i/>
          <w:iCs/>
          <w:sz w:val="16"/>
          <w:szCs w:val="16"/>
        </w:rPr>
        <w:t>El</w:t>
      </w:r>
      <w:proofErr w:type="gramEnd"/>
      <w:r w:rsidRPr="008B0677">
        <w:rPr>
          <w:rFonts w:ascii="BemboStd" w:eastAsia="Times New Roman" w:hAnsi="BemboStd" w:cs="Times New Roman"/>
          <w:i/>
          <w:iCs/>
          <w:sz w:val="16"/>
          <w:szCs w:val="16"/>
        </w:rPr>
        <w:t xml:space="preserve"> Paso Corp. v. La </w:t>
      </w:r>
      <w:proofErr w:type="spellStart"/>
      <w:r w:rsidRPr="008B0677">
        <w:rPr>
          <w:rFonts w:ascii="BemboStd" w:eastAsia="Times New Roman" w:hAnsi="BemboStd" w:cs="Times New Roman"/>
          <w:i/>
          <w:iCs/>
          <w:sz w:val="16"/>
          <w:szCs w:val="16"/>
        </w:rPr>
        <w:t>Comision</w:t>
      </w:r>
      <w:proofErr w:type="spellEnd"/>
      <w:r w:rsidRPr="008B0677">
        <w:rPr>
          <w:rFonts w:ascii="BemboStd" w:eastAsia="Times New Roman" w:hAnsi="BemboStd" w:cs="Times New Roman"/>
          <w:i/>
          <w:iCs/>
          <w:sz w:val="16"/>
          <w:szCs w:val="16"/>
        </w:rPr>
        <w:t xml:space="preserve"> </w:t>
      </w:r>
      <w:proofErr w:type="spellStart"/>
      <w:r w:rsidRPr="008B0677">
        <w:rPr>
          <w:rFonts w:ascii="BemboStd" w:eastAsia="Times New Roman" w:hAnsi="BemboStd" w:cs="Times New Roman"/>
          <w:i/>
          <w:iCs/>
          <w:sz w:val="16"/>
          <w:szCs w:val="16"/>
        </w:rPr>
        <w:t>Ejecutiva</w:t>
      </w:r>
      <w:proofErr w:type="spellEnd"/>
      <w:r w:rsidRPr="008B0677">
        <w:rPr>
          <w:rFonts w:ascii="BemboStd" w:eastAsia="Times New Roman" w:hAnsi="BemboStd" w:cs="Times New Roman"/>
          <w:i/>
          <w:iCs/>
          <w:sz w:val="16"/>
          <w:szCs w:val="16"/>
        </w:rPr>
        <w:t xml:space="preserve"> </w:t>
      </w:r>
      <w:proofErr w:type="spellStart"/>
      <w:r w:rsidRPr="008B0677">
        <w:rPr>
          <w:rFonts w:ascii="BemboStd" w:eastAsia="Times New Roman" w:hAnsi="BemboStd" w:cs="Times New Roman"/>
          <w:i/>
          <w:iCs/>
          <w:sz w:val="16"/>
          <w:szCs w:val="16"/>
        </w:rPr>
        <w:t>Hidroelectrica</w:t>
      </w:r>
      <w:proofErr w:type="spellEnd"/>
      <w:r w:rsidRPr="008B0677">
        <w:rPr>
          <w:rFonts w:ascii="BemboStd" w:eastAsia="Times New Roman" w:hAnsi="BemboStd" w:cs="Times New Roman"/>
          <w:i/>
          <w:iCs/>
          <w:sz w:val="16"/>
          <w:szCs w:val="16"/>
        </w:rPr>
        <w:t xml:space="preserve"> Del Rio </w:t>
      </w:r>
      <w:proofErr w:type="spellStart"/>
      <w:r w:rsidRPr="008B0677">
        <w:rPr>
          <w:rFonts w:ascii="BemboStd" w:eastAsia="Times New Roman" w:hAnsi="BemboStd" w:cs="Times New Roman"/>
          <w:i/>
          <w:iCs/>
          <w:sz w:val="16"/>
          <w:szCs w:val="16"/>
        </w:rPr>
        <w:t>Lempa</w:t>
      </w:r>
      <w:proofErr w:type="spellEnd"/>
      <w:r w:rsidRPr="008B0677">
        <w:rPr>
          <w:rFonts w:ascii="BemboStd" w:eastAsia="Times New Roman" w:hAnsi="BemboStd" w:cs="Times New Roman"/>
          <w:sz w:val="16"/>
          <w:szCs w:val="16"/>
        </w:rPr>
        <w:t xml:space="preserve">, 341 </w:t>
      </w:r>
      <w:proofErr w:type="spellStart"/>
      <w:r w:rsidRPr="008B0677">
        <w:rPr>
          <w:rFonts w:ascii="BemboStd" w:eastAsia="Times New Roman" w:hAnsi="BemboStd" w:cs="Times New Roman"/>
          <w:sz w:val="16"/>
          <w:szCs w:val="16"/>
        </w:rPr>
        <w:t>F.App’x</w:t>
      </w:r>
      <w:proofErr w:type="spellEnd"/>
      <w:r w:rsidRPr="008B0677">
        <w:rPr>
          <w:rFonts w:ascii="BemboStd" w:eastAsia="Times New Roman" w:hAnsi="BemboStd" w:cs="Times New Roman"/>
          <w:sz w:val="16"/>
          <w:szCs w:val="16"/>
        </w:rPr>
        <w:t xml:space="preserve"> 31, 33-34 (5th Cir. 2009). </w:t>
      </w:r>
    </w:p>
    <w:p w14:paraId="5FA40190" w14:textId="77777777" w:rsidR="008B0677" w:rsidRPr="008B0677" w:rsidRDefault="008B0677" w:rsidP="008B0677">
      <w:pPr>
        <w:numPr>
          <w:ilvl w:val="0"/>
          <w:numId w:val="7"/>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29  </w:t>
      </w:r>
      <w:r w:rsidRPr="008B0677">
        <w:rPr>
          <w:rFonts w:ascii="BemboStd" w:eastAsia="Times New Roman" w:hAnsi="BemboStd" w:cs="Times New Roman"/>
          <w:i/>
          <w:iCs/>
          <w:sz w:val="16"/>
          <w:szCs w:val="16"/>
        </w:rPr>
        <w:t>In</w:t>
      </w:r>
      <w:proofErr w:type="gramEnd"/>
      <w:r w:rsidRPr="008B0677">
        <w:rPr>
          <w:rFonts w:ascii="BemboStd" w:eastAsia="Times New Roman" w:hAnsi="BemboStd" w:cs="Times New Roman"/>
          <w:i/>
          <w:iCs/>
          <w:sz w:val="16"/>
          <w:szCs w:val="16"/>
        </w:rPr>
        <w:t xml:space="preserve"> re: Application to Obtain Discovery for Use in Foreign Proceedings</w:t>
      </w:r>
      <w:r w:rsidRPr="008B0677">
        <w:rPr>
          <w:rFonts w:ascii="BemboStd" w:eastAsia="Times New Roman" w:hAnsi="BemboStd" w:cs="Times New Roman"/>
          <w:sz w:val="16"/>
          <w:szCs w:val="16"/>
        </w:rPr>
        <w:t xml:space="preserve">, 939 F.3d 710, 714 (6th Cir. 2019). </w:t>
      </w:r>
    </w:p>
    <w:p w14:paraId="31DCDEA2" w14:textId="77777777" w:rsidR="008B0677" w:rsidRPr="008B0677" w:rsidRDefault="008B0677" w:rsidP="008B0677">
      <w:pPr>
        <w:numPr>
          <w:ilvl w:val="0"/>
          <w:numId w:val="7"/>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30  </w:t>
      </w:r>
      <w:proofErr w:type="spellStart"/>
      <w:r w:rsidRPr="008B0677">
        <w:rPr>
          <w:rFonts w:ascii="BemboStd" w:eastAsia="Times New Roman" w:hAnsi="BemboStd" w:cs="Times New Roman"/>
          <w:i/>
          <w:iCs/>
          <w:sz w:val="16"/>
          <w:szCs w:val="16"/>
        </w:rPr>
        <w:t>Servotronics</w:t>
      </w:r>
      <w:proofErr w:type="spellEnd"/>
      <w:proofErr w:type="gramEnd"/>
      <w:r w:rsidRPr="008B0677">
        <w:rPr>
          <w:rFonts w:ascii="BemboStd" w:eastAsia="Times New Roman" w:hAnsi="BemboStd" w:cs="Times New Roman"/>
          <w:i/>
          <w:iCs/>
          <w:sz w:val="16"/>
          <w:szCs w:val="16"/>
        </w:rPr>
        <w:t>, Inc. v. Boeing Co.</w:t>
      </w:r>
      <w:r w:rsidRPr="008B0677">
        <w:rPr>
          <w:rFonts w:ascii="BemboStd" w:eastAsia="Times New Roman" w:hAnsi="BemboStd" w:cs="Times New Roman"/>
          <w:sz w:val="16"/>
          <w:szCs w:val="16"/>
        </w:rPr>
        <w:t xml:space="preserve">, 954 F.3d 209, 210 (4th Cir. 2020). </w:t>
      </w:r>
    </w:p>
    <w:p w14:paraId="0155C738" w14:textId="77777777" w:rsidR="008B0677" w:rsidRPr="008B0677" w:rsidRDefault="008B0677" w:rsidP="008B0677">
      <w:pPr>
        <w:numPr>
          <w:ilvl w:val="0"/>
          <w:numId w:val="7"/>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31  </w:t>
      </w:r>
      <w:proofErr w:type="spellStart"/>
      <w:r w:rsidRPr="008B0677">
        <w:rPr>
          <w:rFonts w:ascii="BemboStd" w:eastAsia="Times New Roman" w:hAnsi="BemboStd" w:cs="Times New Roman"/>
          <w:i/>
          <w:iCs/>
          <w:sz w:val="16"/>
          <w:szCs w:val="16"/>
        </w:rPr>
        <w:t>Servotronics</w:t>
      </w:r>
      <w:proofErr w:type="spellEnd"/>
      <w:proofErr w:type="gramEnd"/>
      <w:r w:rsidRPr="008B0677">
        <w:rPr>
          <w:rFonts w:ascii="BemboStd" w:eastAsia="Times New Roman" w:hAnsi="BemboStd" w:cs="Times New Roman"/>
          <w:i/>
          <w:iCs/>
          <w:sz w:val="16"/>
          <w:szCs w:val="16"/>
        </w:rPr>
        <w:t>, Inc. v. Rolls-Royce PLC</w:t>
      </w:r>
      <w:r w:rsidRPr="008B0677">
        <w:rPr>
          <w:rFonts w:ascii="BemboStd" w:eastAsia="Times New Roman" w:hAnsi="BemboStd" w:cs="Times New Roman"/>
          <w:sz w:val="16"/>
          <w:szCs w:val="16"/>
        </w:rPr>
        <w:t xml:space="preserve">, No. 19-1847, — F.3d. –, 2020,WL 5640466 (7th Cir., Sept. 22, 2020). </w:t>
      </w:r>
    </w:p>
    <w:p w14:paraId="52C86511" w14:textId="77777777" w:rsidR="008B0677" w:rsidRPr="008B0677" w:rsidRDefault="008B0677" w:rsidP="008B0677">
      <w:pPr>
        <w:numPr>
          <w:ilvl w:val="0"/>
          <w:numId w:val="7"/>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32  Hans</w:t>
      </w:r>
      <w:proofErr w:type="gram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Smit,‘Assistance</w:t>
      </w:r>
      <w:proofErr w:type="spellEnd"/>
      <w:r w:rsidRPr="008B0677">
        <w:rPr>
          <w:rFonts w:ascii="BemboStd" w:eastAsia="Times New Roman" w:hAnsi="BemboStd" w:cs="Times New Roman"/>
          <w:sz w:val="16"/>
          <w:szCs w:val="16"/>
        </w:rPr>
        <w:t xml:space="preserve"> Rendered by the United States in Proceedings Before International tribunals’, </w:t>
      </w:r>
    </w:p>
    <w:p w14:paraId="6CDA2014"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62 </w:t>
      </w:r>
      <w:r w:rsidRPr="008B0677">
        <w:rPr>
          <w:rFonts w:ascii="BemboStd" w:eastAsia="Times New Roman" w:hAnsi="BemboStd" w:cs="Times New Roman"/>
          <w:i/>
          <w:iCs/>
          <w:sz w:val="16"/>
          <w:szCs w:val="16"/>
        </w:rPr>
        <w:t xml:space="preserve">Colum. L. Rev. </w:t>
      </w:r>
      <w:r w:rsidRPr="008B0677">
        <w:rPr>
          <w:rFonts w:ascii="BemboStd" w:eastAsia="Times New Roman" w:hAnsi="BemboStd" w:cs="Times New Roman"/>
          <w:sz w:val="16"/>
          <w:szCs w:val="16"/>
        </w:rPr>
        <w:t xml:space="preserve">1264, 1264–66 (1962); Hans </w:t>
      </w:r>
      <w:proofErr w:type="spellStart"/>
      <w:proofErr w:type="gramStart"/>
      <w:r w:rsidRPr="008B0677">
        <w:rPr>
          <w:rFonts w:ascii="BemboStd" w:eastAsia="Times New Roman" w:hAnsi="BemboStd" w:cs="Times New Roman"/>
          <w:sz w:val="16"/>
          <w:szCs w:val="16"/>
        </w:rPr>
        <w:t>Smit,‘</w:t>
      </w:r>
      <w:proofErr w:type="gramEnd"/>
      <w:r w:rsidRPr="008B0677">
        <w:rPr>
          <w:rFonts w:ascii="BemboStd" w:eastAsia="Times New Roman" w:hAnsi="BemboStd" w:cs="Times New Roman"/>
          <w:sz w:val="16"/>
          <w:szCs w:val="16"/>
        </w:rPr>
        <w:t>American</w:t>
      </w:r>
      <w:proofErr w:type="spellEnd"/>
      <w:r w:rsidRPr="008B0677">
        <w:rPr>
          <w:rFonts w:ascii="BemboStd" w:eastAsia="Times New Roman" w:hAnsi="BemboStd" w:cs="Times New Roman"/>
          <w:sz w:val="16"/>
          <w:szCs w:val="16"/>
        </w:rPr>
        <w:t xml:space="preserve"> Assistance to Litigation in Foreign and International tribunals: Section 1782 of Title 28 of the U.S.C. Revisited’, </w:t>
      </w:r>
      <w:r w:rsidRPr="008B0677">
        <w:rPr>
          <w:rFonts w:ascii="BemboStd" w:eastAsia="Times New Roman" w:hAnsi="BemboStd" w:cs="Times New Roman"/>
          <w:i/>
          <w:iCs/>
          <w:sz w:val="16"/>
          <w:szCs w:val="16"/>
        </w:rPr>
        <w:t xml:space="preserve">Syracuse J. Int’l L. &amp; </w:t>
      </w:r>
      <w:proofErr w:type="spellStart"/>
      <w:r w:rsidRPr="008B0677">
        <w:rPr>
          <w:rFonts w:ascii="BemboStd" w:eastAsia="Times New Roman" w:hAnsi="BemboStd" w:cs="Times New Roman"/>
          <w:i/>
          <w:iCs/>
          <w:sz w:val="16"/>
          <w:szCs w:val="16"/>
        </w:rPr>
        <w:t>Com.</w:t>
      </w:r>
      <w:r w:rsidRPr="008B0677">
        <w:rPr>
          <w:rFonts w:ascii="BemboStd" w:eastAsia="Times New Roman" w:hAnsi="BemboStd" w:cs="Times New Roman"/>
          <w:sz w:val="16"/>
          <w:szCs w:val="16"/>
        </w:rPr>
        <w:t>,Vol</w:t>
      </w:r>
      <w:proofErr w:type="spellEnd"/>
      <w:r w:rsidRPr="008B0677">
        <w:rPr>
          <w:rFonts w:ascii="BemboStd" w:eastAsia="Times New Roman" w:hAnsi="BemboStd" w:cs="Times New Roman"/>
          <w:sz w:val="16"/>
          <w:szCs w:val="16"/>
        </w:rPr>
        <w:t xml:space="preserve">. 25, No. 1, Article 2. </w:t>
      </w:r>
    </w:p>
    <w:p w14:paraId="070DA1F2"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95 </w:t>
      </w:r>
    </w:p>
    <w:p w14:paraId="310A6C00" w14:textId="1D185931"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"/var/folders/3y/yz0s3nns5879wt_b0sx_g3rr0000gn/T/com.microsoft.Word/WebArchiveCopyPasteTempFiles/page15image25992512"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3538D47C" wp14:editId="6645C15F">
            <wp:extent cx="901700" cy="2743200"/>
            <wp:effectExtent l="0" t="0" r="0" b="0"/>
            <wp:docPr id="6" name="Picture 6" descr="page15image2599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ge15image259925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77DE007B"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lastRenderedPageBreak/>
        <w:t xml:space="preserve">© Law Business Research 2021 </w:t>
      </w:r>
    </w:p>
    <w:p w14:paraId="1AC56FA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23588AEC"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Filing an </w:t>
      </w:r>
      <w:proofErr w:type="gramStart"/>
      <w:r w:rsidRPr="008B0677">
        <w:rPr>
          <w:rFonts w:ascii="BemboStd" w:eastAsia="Times New Roman" w:hAnsi="BemboStd" w:cs="Times New Roman"/>
          <w:sz w:val="20"/>
          <w:szCs w:val="20"/>
        </w:rPr>
        <w:t>Article</w:t>
      </w:r>
      <w:proofErr w:type="gramEnd"/>
      <w:r w:rsidRPr="008B0677">
        <w:rPr>
          <w:rFonts w:ascii="BemboStd" w:eastAsia="Times New Roman" w:hAnsi="BemboStd" w:cs="Times New Roman"/>
          <w:sz w:val="20"/>
          <w:szCs w:val="20"/>
        </w:rPr>
        <w:t xml:space="preserve"> 145 motion is subject to two general conditions: </w:t>
      </w:r>
    </w:p>
    <w:p w14:paraId="16D636E2" w14:textId="77777777" w:rsidR="008B0677" w:rsidRPr="008B0677" w:rsidRDefault="008B0677" w:rsidP="008B0677">
      <w:pPr>
        <w:numPr>
          <w:ilvl w:val="0"/>
          <w:numId w:val="8"/>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requesting party must demonstrate that its request is legitimate (that the evidence </w:t>
      </w:r>
    </w:p>
    <w:p w14:paraId="330449F4"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sought is necessary to protect its rights or prove its claims); and </w:t>
      </w:r>
    </w:p>
    <w:p w14:paraId="4695E4EA" w14:textId="77777777" w:rsidR="008B0677" w:rsidRPr="008B0677" w:rsidRDefault="008B0677" w:rsidP="008B0677">
      <w:pPr>
        <w:numPr>
          <w:ilvl w:val="0"/>
          <w:numId w:val="8"/>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proceeding must be filed in contemplation of future legal proceedings. </w:t>
      </w:r>
    </w:p>
    <w:p w14:paraId="7F7BC596"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Article 145 order may also be requested </w:t>
      </w:r>
      <w:r w:rsidRPr="008B0677">
        <w:rPr>
          <w:rFonts w:ascii="BemboStd" w:eastAsia="Times New Roman" w:hAnsi="BemboStd" w:cs="Times New Roman"/>
          <w:i/>
          <w:iCs/>
          <w:sz w:val="20"/>
          <w:szCs w:val="20"/>
        </w:rPr>
        <w:t xml:space="preserve">ex </w:t>
      </w:r>
      <w:proofErr w:type="spellStart"/>
      <w:r w:rsidRPr="008B0677">
        <w:rPr>
          <w:rFonts w:ascii="BemboStd" w:eastAsia="Times New Roman" w:hAnsi="BemboStd" w:cs="Times New Roman"/>
          <w:i/>
          <w:iCs/>
          <w:sz w:val="20"/>
          <w:szCs w:val="20"/>
        </w:rPr>
        <w:t>parte</w:t>
      </w:r>
      <w:proofErr w:type="spellEnd"/>
      <w:r w:rsidRPr="008B0677">
        <w:rPr>
          <w:rFonts w:ascii="BemboStd" w:eastAsia="Times New Roman" w:hAnsi="BemboStd" w:cs="Times New Roman"/>
          <w:sz w:val="20"/>
          <w:szCs w:val="20"/>
        </w:rPr>
        <w:t xml:space="preserve">, but only if the applicant can show that circumstances – such as the need for surprise – require an </w:t>
      </w:r>
      <w:r w:rsidRPr="008B0677">
        <w:rPr>
          <w:rFonts w:ascii="BemboStd" w:eastAsia="Times New Roman" w:hAnsi="BemboStd" w:cs="Times New Roman"/>
          <w:i/>
          <w:iCs/>
          <w:sz w:val="20"/>
          <w:szCs w:val="20"/>
        </w:rPr>
        <w:t xml:space="preserve">ex </w:t>
      </w:r>
      <w:proofErr w:type="spellStart"/>
      <w:r w:rsidRPr="008B0677">
        <w:rPr>
          <w:rFonts w:ascii="BemboStd" w:eastAsia="Times New Roman" w:hAnsi="BemboStd" w:cs="Times New Roman"/>
          <w:i/>
          <w:iCs/>
          <w:sz w:val="20"/>
          <w:szCs w:val="20"/>
        </w:rPr>
        <w:t>parte</w:t>
      </w:r>
      <w:proofErr w:type="spellEnd"/>
      <w:r w:rsidRPr="008B0677">
        <w:rPr>
          <w:rFonts w:ascii="BemboStd" w:eastAsia="Times New Roman" w:hAnsi="BemboStd" w:cs="Times New Roman"/>
          <w:i/>
          <w:iCs/>
          <w:sz w:val="20"/>
          <w:szCs w:val="20"/>
        </w:rPr>
        <w:t xml:space="preserve"> </w:t>
      </w:r>
      <w:r w:rsidRPr="008B0677">
        <w:rPr>
          <w:rFonts w:ascii="BemboStd" w:eastAsia="Times New Roman" w:hAnsi="BemboStd" w:cs="Times New Roman"/>
          <w:sz w:val="20"/>
          <w:szCs w:val="20"/>
        </w:rPr>
        <w:t>solution.</w:t>
      </w:r>
      <w:r w:rsidRPr="008B0677">
        <w:rPr>
          <w:rFonts w:ascii="BemboStd" w:eastAsia="Times New Roman" w:hAnsi="BemboStd" w:cs="Times New Roman"/>
          <w:position w:val="6"/>
          <w:sz w:val="12"/>
          <w:szCs w:val="12"/>
        </w:rPr>
        <w:t xml:space="preserve">33 </w:t>
      </w:r>
      <w:r w:rsidRPr="008B0677">
        <w:rPr>
          <w:rFonts w:ascii="BemboStd" w:eastAsia="Times New Roman" w:hAnsi="BemboStd" w:cs="Times New Roman"/>
          <w:sz w:val="20"/>
          <w:szCs w:val="20"/>
        </w:rPr>
        <w:t xml:space="preserve">The dis- </w:t>
      </w:r>
      <w:proofErr w:type="spellStart"/>
      <w:r w:rsidRPr="008B0677">
        <w:rPr>
          <w:rFonts w:ascii="BemboStd" w:eastAsia="Times New Roman" w:hAnsi="BemboStd" w:cs="Times New Roman"/>
          <w:sz w:val="20"/>
          <w:szCs w:val="20"/>
        </w:rPr>
        <w:t>covery</w:t>
      </w:r>
      <w:proofErr w:type="spellEnd"/>
      <w:r w:rsidRPr="008B0677">
        <w:rPr>
          <w:rFonts w:ascii="BemboStd" w:eastAsia="Times New Roman" w:hAnsi="BemboStd" w:cs="Times New Roman"/>
          <w:sz w:val="20"/>
          <w:szCs w:val="20"/>
        </w:rPr>
        <w:t xml:space="preserve"> is then maintained by the bailiff; if no application is made by the seized party within 30 days, the documents will be released to the applicant.</w:t>
      </w:r>
      <w:r w:rsidRPr="008B0677">
        <w:rPr>
          <w:rFonts w:ascii="BemboStd" w:eastAsia="Times New Roman" w:hAnsi="BemboStd" w:cs="Times New Roman"/>
          <w:position w:val="6"/>
          <w:sz w:val="12"/>
          <w:szCs w:val="12"/>
        </w:rPr>
        <w:t xml:space="preserve">34 </w:t>
      </w:r>
    </w:p>
    <w:p w14:paraId="4A5810DD"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Note that there is no obligation that the collected evidence be used in later legal proceedings, as it may be that the results of the discovery show there to be no basis for a claim. Nor is there any prohibition on such evidence being used in an arbitration, whether in France or abroad. And importantly, the French Supreme Court has confirmed that this procedure may be used to obtain evidence from non-parties.</w:t>
      </w:r>
      <w:r w:rsidRPr="008B0677">
        <w:rPr>
          <w:rFonts w:ascii="BemboStd" w:eastAsia="Times New Roman" w:hAnsi="BemboStd" w:cs="Times New Roman"/>
          <w:position w:val="6"/>
          <w:sz w:val="12"/>
          <w:szCs w:val="12"/>
        </w:rPr>
        <w:t xml:space="preserve">35 </w:t>
      </w:r>
    </w:p>
    <w:p w14:paraId="2F8BD46A"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Accordingly, despite all the attention paid to the application of Section 1782 in the United States, and the uncertainty created by the post-</w:t>
      </w:r>
      <w:r w:rsidRPr="008B0677">
        <w:rPr>
          <w:rFonts w:ascii="BemboStd" w:eastAsia="Times New Roman" w:hAnsi="BemboStd" w:cs="Times New Roman"/>
          <w:i/>
          <w:iCs/>
          <w:sz w:val="20"/>
          <w:szCs w:val="20"/>
        </w:rPr>
        <w:t xml:space="preserve">Intel </w:t>
      </w:r>
      <w:r w:rsidRPr="008B0677">
        <w:rPr>
          <w:rFonts w:ascii="BemboStd" w:eastAsia="Times New Roman" w:hAnsi="BemboStd" w:cs="Times New Roman"/>
          <w:sz w:val="20"/>
          <w:szCs w:val="20"/>
        </w:rPr>
        <w:t xml:space="preserve">split among the circuit courts of appeal, in practice there are discovery solutions in other countries that are often more efficient and less uncertain than the procedures under US law. </w:t>
      </w:r>
    </w:p>
    <w:p w14:paraId="2260B017"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The way </w:t>
      </w:r>
      <w:proofErr w:type="gramStart"/>
      <w:r w:rsidRPr="008B0677">
        <w:rPr>
          <w:rFonts w:ascii="BemboStd" w:eastAsia="Times New Roman" w:hAnsi="BemboStd" w:cs="Times New Roman"/>
          <w:sz w:val="20"/>
          <w:szCs w:val="20"/>
        </w:rPr>
        <w:t>parties</w:t>
      </w:r>
      <w:proofErr w:type="gramEnd"/>
      <w:r w:rsidRPr="008B0677">
        <w:rPr>
          <w:rFonts w:ascii="BemboStd" w:eastAsia="Times New Roman" w:hAnsi="BemboStd" w:cs="Times New Roman"/>
          <w:sz w:val="20"/>
          <w:szCs w:val="20"/>
        </w:rPr>
        <w:t xml:space="preserve"> resort to national judicial discovery techniques, however, should be </w:t>
      </w:r>
      <w:proofErr w:type="spellStart"/>
      <w:r w:rsidRPr="008B0677">
        <w:rPr>
          <w:rFonts w:ascii="BemboStd" w:eastAsia="Times New Roman" w:hAnsi="BemboStd" w:cs="Times New Roman"/>
          <w:sz w:val="20"/>
          <w:szCs w:val="20"/>
        </w:rPr>
        <w:t>organised</w:t>
      </w:r>
      <w:proofErr w:type="spellEnd"/>
      <w:r w:rsidRPr="008B0677">
        <w:rPr>
          <w:rFonts w:ascii="BemboStd" w:eastAsia="Times New Roman" w:hAnsi="BemboStd" w:cs="Times New Roman"/>
          <w:sz w:val="20"/>
          <w:szCs w:val="20"/>
        </w:rPr>
        <w:t xml:space="preserve"> and planned with the arbitral tribunal, so that the tribunal is notified and has the possibility to oversee, or potentially to prohibit, recourse to national courts to obtain discovery. As with privilege, this is an issue that can and should be raised with the parties early in the proceedings, at the time of the terms of reference or the initial procedural order. Even if the parties have not contemplated at that early stage of the proceeding that they might use such discovery tools, it is recommended that the tribunal include a reference to this type of discovery request if such requests are not addressed in any of the applicable institutional rules or guidance. </w:t>
      </w:r>
    </w:p>
    <w:p w14:paraId="72502411"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For example, there is no reference to discovery proceedings brought in national courts by the parties in the ICC Rules. However, these rules do provide that: </w:t>
      </w:r>
    </w:p>
    <w:p w14:paraId="0784857C" w14:textId="77777777" w:rsidR="008B0677" w:rsidRPr="008B0677" w:rsidRDefault="008B0677" w:rsidP="008B0677">
      <w:pPr>
        <w:numPr>
          <w:ilvl w:val="0"/>
          <w:numId w:val="9"/>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w:t>
      </w:r>
      <w:proofErr w:type="gramStart"/>
      <w:r w:rsidRPr="008B0677">
        <w:rPr>
          <w:rFonts w:ascii="BemboStd" w:eastAsia="Times New Roman" w:hAnsi="BemboStd" w:cs="Times New Roman"/>
          <w:sz w:val="20"/>
          <w:szCs w:val="20"/>
        </w:rPr>
        <w:t>the</w:t>
      </w:r>
      <w:proofErr w:type="gramEnd"/>
      <w:r w:rsidRPr="008B0677">
        <w:rPr>
          <w:rFonts w:ascii="BemboStd" w:eastAsia="Times New Roman" w:hAnsi="BemboStd" w:cs="Times New Roman"/>
          <w:sz w:val="20"/>
          <w:szCs w:val="20"/>
        </w:rPr>
        <w:t xml:space="preserve"> arbitral tribunal and the parties shall make every effort to conduct the arbitration </w:t>
      </w:r>
    </w:p>
    <w:p w14:paraId="02018958"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in an expeditious and cost-effective manner’ (Article 22); and </w:t>
      </w:r>
    </w:p>
    <w:p w14:paraId="0FFE974A" w14:textId="77777777" w:rsidR="008B0677" w:rsidRPr="008B0677" w:rsidRDefault="008B0677" w:rsidP="008B0677">
      <w:pPr>
        <w:numPr>
          <w:ilvl w:val="0"/>
          <w:numId w:val="9"/>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w:t>
      </w:r>
      <w:proofErr w:type="gramStart"/>
      <w:r w:rsidRPr="008B0677">
        <w:rPr>
          <w:rFonts w:ascii="BemboStd" w:eastAsia="Times New Roman" w:hAnsi="BemboStd" w:cs="Times New Roman"/>
          <w:sz w:val="20"/>
          <w:szCs w:val="20"/>
        </w:rPr>
        <w:t>the</w:t>
      </w:r>
      <w:proofErr w:type="gramEnd"/>
      <w:r w:rsidRPr="008B0677">
        <w:rPr>
          <w:rFonts w:ascii="BemboStd" w:eastAsia="Times New Roman" w:hAnsi="BemboStd" w:cs="Times New Roman"/>
          <w:sz w:val="20"/>
          <w:szCs w:val="20"/>
        </w:rPr>
        <w:t xml:space="preserve"> arbitral tribunal shall proceed within as short a time a possible to establish the facts </w:t>
      </w:r>
    </w:p>
    <w:p w14:paraId="34FEACB4"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of the case by all appropriate means’ (Article 25). </w:t>
      </w:r>
    </w:p>
    <w:p w14:paraId="2934566D"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On the strength of this institutional delegation to the tribunal to </w:t>
      </w:r>
      <w:proofErr w:type="spellStart"/>
      <w:r w:rsidRPr="008B0677">
        <w:rPr>
          <w:rFonts w:ascii="BemboStd" w:eastAsia="Times New Roman" w:hAnsi="BemboStd" w:cs="Times New Roman"/>
          <w:sz w:val="20"/>
          <w:szCs w:val="20"/>
        </w:rPr>
        <w:t>organise</w:t>
      </w:r>
      <w:proofErr w:type="spellEnd"/>
      <w:r w:rsidRPr="008B0677">
        <w:rPr>
          <w:rFonts w:ascii="BemboStd" w:eastAsia="Times New Roman" w:hAnsi="BemboStd" w:cs="Times New Roman"/>
          <w:sz w:val="20"/>
          <w:szCs w:val="20"/>
        </w:rPr>
        <w:t xml:space="preserve"> the proceed- </w:t>
      </w:r>
      <w:proofErr w:type="spellStart"/>
      <w:r w:rsidRPr="008B0677">
        <w:rPr>
          <w:rFonts w:ascii="BemboStd" w:eastAsia="Times New Roman" w:hAnsi="BemboStd" w:cs="Times New Roman"/>
          <w:sz w:val="20"/>
          <w:szCs w:val="20"/>
        </w:rPr>
        <w:t>ings</w:t>
      </w:r>
      <w:proofErr w:type="spellEnd"/>
      <w:r w:rsidRPr="008B0677">
        <w:rPr>
          <w:rFonts w:ascii="BemboStd" w:eastAsia="Times New Roman" w:hAnsi="BemboStd" w:cs="Times New Roman"/>
          <w:sz w:val="20"/>
          <w:szCs w:val="20"/>
        </w:rPr>
        <w:t xml:space="preserve">, and the duty of the tribunal to reach an enforceable award, the terms of reference should require that recourse by any party to national courts for purposes of discovery must be notified in advance to the tribunal, failing which such evidence may not be used in the arbitration. Indeed, it would give the </w:t>
      </w:r>
      <w:r w:rsidRPr="008B0677">
        <w:rPr>
          <w:rFonts w:ascii="BemboStd" w:eastAsia="Times New Roman" w:hAnsi="BemboStd" w:cs="Times New Roman"/>
          <w:sz w:val="20"/>
          <w:szCs w:val="20"/>
        </w:rPr>
        <w:lastRenderedPageBreak/>
        <w:t xml:space="preserve">tribunal even more control of its proceedings if the parties were required not only to notify the tribunal of recourse to national courts, </w:t>
      </w:r>
    </w:p>
    <w:p w14:paraId="57E44FB0" w14:textId="77777777" w:rsidR="008B0677" w:rsidRPr="008B0677" w:rsidRDefault="008B0677" w:rsidP="008B0677">
      <w:pPr>
        <w:numPr>
          <w:ilvl w:val="1"/>
          <w:numId w:val="9"/>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33  Court</w:t>
      </w:r>
      <w:proofErr w:type="gramEnd"/>
      <w:r w:rsidRPr="008B0677">
        <w:rPr>
          <w:rFonts w:ascii="BemboStd" w:eastAsia="Times New Roman" w:hAnsi="BemboStd" w:cs="Times New Roman"/>
          <w:sz w:val="16"/>
          <w:szCs w:val="16"/>
        </w:rPr>
        <w:t xml:space="preserve"> of Cassation, Civ. 2, 8 January 2015, No. 13-27.740 (requiring that this circumstance must be expressly stated in the motion, failing which the application would be inadmissible). </w:t>
      </w:r>
    </w:p>
    <w:p w14:paraId="6CD206B3" w14:textId="77777777" w:rsidR="008B0677" w:rsidRPr="008B0677" w:rsidRDefault="008B0677" w:rsidP="008B0677">
      <w:pPr>
        <w:numPr>
          <w:ilvl w:val="1"/>
          <w:numId w:val="9"/>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34  Article</w:t>
      </w:r>
      <w:proofErr w:type="gramEnd"/>
      <w:r w:rsidRPr="008B0677">
        <w:rPr>
          <w:rFonts w:ascii="BemboStd" w:eastAsia="Times New Roman" w:hAnsi="BemboStd" w:cs="Times New Roman"/>
          <w:sz w:val="16"/>
          <w:szCs w:val="16"/>
        </w:rPr>
        <w:t xml:space="preserve"> R153-1, Commercial Code. </w:t>
      </w:r>
    </w:p>
    <w:p w14:paraId="5057F338" w14:textId="77777777" w:rsidR="008B0677" w:rsidRPr="008B0677" w:rsidRDefault="008B0677" w:rsidP="008B0677">
      <w:pPr>
        <w:numPr>
          <w:ilvl w:val="1"/>
          <w:numId w:val="9"/>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35  Court</w:t>
      </w:r>
      <w:proofErr w:type="gramEnd"/>
      <w:r w:rsidRPr="008B0677">
        <w:rPr>
          <w:rFonts w:ascii="BemboStd" w:eastAsia="Times New Roman" w:hAnsi="BemboStd" w:cs="Times New Roman"/>
          <w:sz w:val="16"/>
          <w:szCs w:val="16"/>
        </w:rPr>
        <w:t xml:space="preserve"> of Cassation, Civ. 2, 27 February 2014, No. 13-10.013. </w:t>
      </w:r>
    </w:p>
    <w:p w14:paraId="591A7E4A" w14:textId="77777777" w:rsidR="008B0677" w:rsidRPr="008B0677" w:rsidRDefault="008B0677" w:rsidP="008B0677">
      <w:pPr>
        <w:spacing w:before="100" w:beforeAutospacing="1" w:after="100" w:afterAutospacing="1"/>
        <w:ind w:left="1440"/>
        <w:rPr>
          <w:rFonts w:ascii="BemboStd" w:eastAsia="Times New Roman" w:hAnsi="BemboStd" w:cs="Times New Roman"/>
          <w:sz w:val="20"/>
          <w:szCs w:val="20"/>
        </w:rPr>
      </w:pPr>
      <w:r w:rsidRPr="008B0677">
        <w:rPr>
          <w:rFonts w:ascii="BemboStd" w:eastAsia="Times New Roman" w:hAnsi="BemboStd" w:cs="Times New Roman"/>
          <w:sz w:val="22"/>
          <w:szCs w:val="22"/>
        </w:rPr>
        <w:t xml:space="preserve">96 </w:t>
      </w:r>
    </w:p>
    <w:p w14:paraId="686BB9A4" w14:textId="788CF578"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"/var/folders/3y/yz0s3nns5879wt_b0sx_g3rr0000gn/T/com.microsoft.Word/WebArchiveCopyPasteTempFiles/page16image25175040"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603C5D01" wp14:editId="6164F161">
            <wp:extent cx="901700" cy="2743200"/>
            <wp:effectExtent l="0" t="0" r="0" b="0"/>
            <wp:docPr id="5" name="Picture 5" descr="page16image25175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16image2517504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07BDC3D7"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160EBADE"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4E238D1F"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but </w:t>
      </w:r>
      <w:proofErr w:type="gramStart"/>
      <w:r w:rsidRPr="008B0677">
        <w:rPr>
          <w:rFonts w:ascii="BemboStd" w:eastAsia="Times New Roman" w:hAnsi="BemboStd" w:cs="Times New Roman"/>
          <w:sz w:val="20"/>
          <w:szCs w:val="20"/>
        </w:rPr>
        <w:t>also</w:t>
      </w:r>
      <w:proofErr w:type="gramEnd"/>
      <w:r w:rsidRPr="008B0677">
        <w:rPr>
          <w:rFonts w:ascii="BemboStd" w:eastAsia="Times New Roman" w:hAnsi="BemboStd" w:cs="Times New Roman"/>
          <w:sz w:val="20"/>
          <w:szCs w:val="20"/>
        </w:rPr>
        <w:t xml:space="preserve"> that such recourse be approved by the tribunal (though in practice this is rarely done). Although this might seem a severe restriction on the parties’ rights to use available litigation tools, allowing parties free reign to seek discovery from national courts could be a recipe for procedural disaster as parties may be tempted to use such tools as much for purposes of delay – or to impose unnecessary costs on an adversary – as for legitimate fact-finding purposes. </w:t>
      </w:r>
    </w:p>
    <w:p w14:paraId="44E9BA2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rPr>
        <w:t xml:space="preserve">Compliance with GDPR in arbitration discovery </w:t>
      </w:r>
    </w:p>
    <w:p w14:paraId="55962BA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Much has been written since 2018, when the GDPR</w:t>
      </w:r>
      <w:r w:rsidRPr="008B0677">
        <w:rPr>
          <w:rFonts w:ascii="BemboStd" w:eastAsia="Times New Roman" w:hAnsi="BemboStd" w:cs="Times New Roman"/>
          <w:position w:val="6"/>
          <w:sz w:val="12"/>
          <w:szCs w:val="12"/>
        </w:rPr>
        <w:t xml:space="preserve">36 </w:t>
      </w:r>
      <w:r w:rsidRPr="008B0677">
        <w:rPr>
          <w:rFonts w:ascii="BemboStd" w:eastAsia="Times New Roman" w:hAnsi="BemboStd" w:cs="Times New Roman"/>
          <w:sz w:val="20"/>
          <w:szCs w:val="20"/>
        </w:rPr>
        <w:t>came into effect, about the impact of the new rules on arbitration. Of course, data protection regulation is not new, dating back in France, for example, to 1978,</w:t>
      </w:r>
      <w:r w:rsidRPr="008B0677">
        <w:rPr>
          <w:rFonts w:ascii="BemboStd" w:eastAsia="Times New Roman" w:hAnsi="BemboStd" w:cs="Times New Roman"/>
          <w:position w:val="6"/>
          <w:sz w:val="12"/>
          <w:szCs w:val="12"/>
        </w:rPr>
        <w:t xml:space="preserve">37 </w:t>
      </w:r>
      <w:r w:rsidRPr="008B0677">
        <w:rPr>
          <w:rFonts w:ascii="BemboStd" w:eastAsia="Times New Roman" w:hAnsi="BemboStd" w:cs="Times New Roman"/>
          <w:sz w:val="20"/>
          <w:szCs w:val="20"/>
        </w:rPr>
        <w:t>and in Europe to the 1995 Directive.</w:t>
      </w:r>
      <w:r w:rsidRPr="008B0677">
        <w:rPr>
          <w:rFonts w:ascii="BemboStd" w:eastAsia="Times New Roman" w:hAnsi="BemboStd" w:cs="Times New Roman"/>
          <w:position w:val="6"/>
          <w:sz w:val="12"/>
          <w:szCs w:val="12"/>
        </w:rPr>
        <w:t xml:space="preserve">38 </w:t>
      </w:r>
      <w:r w:rsidRPr="008B0677">
        <w:rPr>
          <w:rFonts w:ascii="BemboStd" w:eastAsia="Times New Roman" w:hAnsi="BemboStd" w:cs="Times New Roman"/>
          <w:sz w:val="20"/>
          <w:szCs w:val="20"/>
        </w:rPr>
        <w:t xml:space="preserve">But as this was a new and evolving area of the law, with little guidance at the start and even fewer sanctions for non-compliance, few in the arbitration world paid much attention and indeed arbitration practitioners suffered no penalties during this time. </w:t>
      </w:r>
    </w:p>
    <w:p w14:paraId="7D14765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The French</w:t>
      </w:r>
      <w:r w:rsidRPr="008B0677">
        <w:rPr>
          <w:rFonts w:ascii="BemboStd" w:eastAsia="Times New Roman" w:hAnsi="BemboStd" w:cs="Times New Roman"/>
          <w:position w:val="6"/>
          <w:sz w:val="12"/>
          <w:szCs w:val="12"/>
        </w:rPr>
        <w:t xml:space="preserve">39 </w:t>
      </w:r>
      <w:r w:rsidRPr="008B0677">
        <w:rPr>
          <w:rFonts w:ascii="BemboStd" w:eastAsia="Times New Roman" w:hAnsi="BemboStd" w:cs="Times New Roman"/>
          <w:sz w:val="20"/>
          <w:szCs w:val="20"/>
        </w:rPr>
        <w:t>and EU</w:t>
      </w:r>
      <w:r w:rsidRPr="008B0677">
        <w:rPr>
          <w:rFonts w:ascii="BemboStd" w:eastAsia="Times New Roman" w:hAnsi="BemboStd" w:cs="Times New Roman"/>
          <w:position w:val="6"/>
          <w:sz w:val="12"/>
          <w:szCs w:val="12"/>
        </w:rPr>
        <w:t xml:space="preserve">40 </w:t>
      </w:r>
      <w:r w:rsidRPr="008B0677">
        <w:rPr>
          <w:rFonts w:ascii="BemboStd" w:eastAsia="Times New Roman" w:hAnsi="BemboStd" w:cs="Times New Roman"/>
          <w:sz w:val="20"/>
          <w:szCs w:val="20"/>
        </w:rPr>
        <w:t xml:space="preserve">privacy regulators, in 2008 and 2009 respectively, started to pay attention to data protection in international litigation, offering guidance for national court litigants engaged in cross-border discovery on compliance with the European system of data protection, including the use in such litigation of appropriate protective </w:t>
      </w:r>
      <w:proofErr w:type="spellStart"/>
      <w:r w:rsidRPr="008B0677">
        <w:rPr>
          <w:rFonts w:ascii="BemboStd" w:eastAsia="Times New Roman" w:hAnsi="BemboStd" w:cs="Times New Roman"/>
          <w:sz w:val="20"/>
          <w:szCs w:val="20"/>
        </w:rPr>
        <w:t>orders.At</w:t>
      </w:r>
      <w:proofErr w:type="spellEnd"/>
      <w:r w:rsidRPr="008B0677">
        <w:rPr>
          <w:rFonts w:ascii="BemboStd" w:eastAsia="Times New Roman" w:hAnsi="BemboStd" w:cs="Times New Roman"/>
          <w:sz w:val="20"/>
          <w:szCs w:val="20"/>
        </w:rPr>
        <w:t xml:space="preserve"> least one US court (before the GDPR even came into effect) appointed a privacy monitor in the context of international discovery to oversee compliance by the parties with the EU privacy rules, showing judicial respect for the EU rules.</w:t>
      </w:r>
      <w:r w:rsidRPr="008B0677">
        <w:rPr>
          <w:rFonts w:ascii="BemboStd" w:eastAsia="Times New Roman" w:hAnsi="BemboStd" w:cs="Times New Roman"/>
          <w:position w:val="6"/>
          <w:sz w:val="12"/>
          <w:szCs w:val="12"/>
        </w:rPr>
        <w:t xml:space="preserve">41 </w:t>
      </w:r>
    </w:p>
    <w:p w14:paraId="150C999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lastRenderedPageBreak/>
        <w:t>The GDPR brought new protective requirements and new sanctions relating to the management of personal data within the broad territorial scope of the Regulation.</w:t>
      </w:r>
      <w:r w:rsidRPr="008B0677">
        <w:rPr>
          <w:rFonts w:ascii="BemboStd" w:eastAsia="Times New Roman" w:hAnsi="BemboStd" w:cs="Times New Roman"/>
          <w:position w:val="6"/>
          <w:sz w:val="12"/>
          <w:szCs w:val="12"/>
        </w:rPr>
        <w:t xml:space="preserve">42 </w:t>
      </w:r>
      <w:r w:rsidRPr="008B0677">
        <w:rPr>
          <w:rFonts w:ascii="BemboStd" w:eastAsia="Times New Roman" w:hAnsi="BemboStd" w:cs="Times New Roman"/>
          <w:sz w:val="20"/>
          <w:szCs w:val="20"/>
        </w:rPr>
        <w:t xml:space="preserve">The Regulation applies to all covered personal data; it is not industry- or sector-dependent. </w:t>
      </w:r>
    </w:p>
    <w:p w14:paraId="1F6CC8F7"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36  Regulation</w:t>
      </w:r>
      <w:proofErr w:type="gramEnd"/>
      <w:r w:rsidRPr="008B0677">
        <w:rPr>
          <w:rFonts w:ascii="BemboStd" w:eastAsia="Times New Roman" w:hAnsi="BemboStd" w:cs="Times New Roman"/>
          <w:sz w:val="16"/>
          <w:szCs w:val="16"/>
        </w:rPr>
        <w:t xml:space="preserve"> (EU) 2016/679 of the European Parliament and the Council of 27 April 2016 on the Protection of Natural Persons with Regard to the Processing of Personal Data and on the Free Movement of Such Data, and Repealing Directive 95/46/EC (General Data Protection Regulation), 2016 O.J. L 119/1 (hereinafter GDPR). </w:t>
      </w:r>
    </w:p>
    <w:p w14:paraId="2B666B6C"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37  Law</w:t>
      </w:r>
      <w:proofErr w:type="gramEnd"/>
      <w:r w:rsidRPr="008B0677">
        <w:rPr>
          <w:rFonts w:ascii="BemboStd" w:eastAsia="Times New Roman" w:hAnsi="BemboStd" w:cs="Times New Roman"/>
          <w:sz w:val="16"/>
          <w:szCs w:val="16"/>
        </w:rPr>
        <w:t xml:space="preserve"> No. 78-17 of 6 January 1978. https://www.legifrance.gouv.fr/loda/id/JORFTEXT000000886460/ 2020-10-28/. </w:t>
      </w:r>
    </w:p>
    <w:p w14:paraId="1333D0D9"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38  The</w:t>
      </w:r>
      <w:proofErr w:type="gramEnd"/>
      <w:r w:rsidRPr="008B0677">
        <w:rPr>
          <w:rFonts w:ascii="BemboStd" w:eastAsia="Times New Roman" w:hAnsi="BemboStd" w:cs="Times New Roman"/>
          <w:sz w:val="16"/>
          <w:szCs w:val="16"/>
        </w:rPr>
        <w:t xml:space="preserve"> European Data Protection Directive, Directive 95/46/EC. https://eur-lex.europa.eu/LexUriServ/ </w:t>
      </w:r>
      <w:proofErr w:type="spellStart"/>
      <w:r w:rsidRPr="008B0677">
        <w:rPr>
          <w:rFonts w:ascii="BemboStd" w:eastAsia="Times New Roman" w:hAnsi="BemboStd" w:cs="Times New Roman"/>
          <w:sz w:val="16"/>
          <w:szCs w:val="16"/>
        </w:rPr>
        <w:t>LexUriServ.do?uri</w:t>
      </w:r>
      <w:proofErr w:type="spellEnd"/>
      <w:r w:rsidRPr="008B0677">
        <w:rPr>
          <w:rFonts w:ascii="BemboStd" w:eastAsia="Times New Roman" w:hAnsi="BemboStd" w:cs="Times New Roman"/>
          <w:sz w:val="16"/>
          <w:szCs w:val="16"/>
        </w:rPr>
        <w:t xml:space="preserve">=CELEX:31995L0046:en:HTML. </w:t>
      </w:r>
    </w:p>
    <w:p w14:paraId="45DFDAAA"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39  https://www.legifrance.gouv.fr/cnil/id/CNILTEXT000020996614/</w:t>
      </w:r>
      <w:proofErr w:type="gramEnd"/>
      <w:r w:rsidRPr="008B0677">
        <w:rPr>
          <w:rFonts w:ascii="BemboStd" w:eastAsia="Times New Roman" w:hAnsi="BemboStd" w:cs="Times New Roman"/>
          <w:sz w:val="16"/>
          <w:szCs w:val="16"/>
        </w:rPr>
        <w:t xml:space="preserve">. </w:t>
      </w:r>
    </w:p>
    <w:p w14:paraId="37D490B0"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40  https://ec.europa.eu/justice/article-29/documentation/opinion-recommendation/files/2009/wp158_en.pdf</w:t>
      </w:r>
      <w:proofErr w:type="gramEnd"/>
      <w:r w:rsidRPr="008B0677">
        <w:rPr>
          <w:rFonts w:ascii="BemboStd" w:eastAsia="Times New Roman" w:hAnsi="BemboStd" w:cs="Times New Roman"/>
          <w:sz w:val="16"/>
          <w:szCs w:val="16"/>
        </w:rPr>
        <w:t xml:space="preserve">. </w:t>
      </w:r>
    </w:p>
    <w:p w14:paraId="70BF7D1C"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41  Privacy</w:t>
      </w:r>
      <w:proofErr w:type="gramEnd"/>
      <w:r w:rsidRPr="008B0677">
        <w:rPr>
          <w:rFonts w:ascii="BemboStd" w:eastAsia="Times New Roman" w:hAnsi="BemboStd" w:cs="Times New Roman"/>
          <w:sz w:val="16"/>
          <w:szCs w:val="16"/>
        </w:rPr>
        <w:t xml:space="preserve"> monitors have been appointed by US courts to oversee compliance by foreign parties with GDPR </w:t>
      </w:r>
    </w:p>
    <w:p w14:paraId="7D2F9ED1"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 xml:space="preserve">requirements during the discovery process, in application of EU guidance WP158, ensuring that an independent third party has verified that all GDPR conditions have been fulfilled. See </w:t>
      </w:r>
      <w:proofErr w:type="spellStart"/>
      <w:r w:rsidRPr="008B0677">
        <w:rPr>
          <w:rFonts w:ascii="BemboStd" w:eastAsia="Times New Roman" w:hAnsi="BemboStd" w:cs="Times New Roman"/>
          <w:i/>
          <w:iCs/>
          <w:sz w:val="16"/>
          <w:szCs w:val="16"/>
        </w:rPr>
        <w:t>Lataillade</w:t>
      </w:r>
      <w:proofErr w:type="spellEnd"/>
      <w:r w:rsidRPr="008B0677">
        <w:rPr>
          <w:rFonts w:ascii="BemboStd" w:eastAsia="Times New Roman" w:hAnsi="BemboStd" w:cs="Times New Roman"/>
          <w:i/>
          <w:iCs/>
          <w:sz w:val="16"/>
          <w:szCs w:val="16"/>
        </w:rPr>
        <w:t xml:space="preserve"> v. LVMH</w:t>
      </w:r>
      <w:r w:rsidRPr="008B0677">
        <w:rPr>
          <w:rFonts w:ascii="BemboStd" w:eastAsia="Times New Roman" w:hAnsi="BemboStd" w:cs="Times New Roman"/>
          <w:sz w:val="16"/>
          <w:szCs w:val="16"/>
        </w:rPr>
        <w:t xml:space="preserve">, S.D.N.Y. 2017, Case No. 1:16-cv-06637. Other US court litigation appointing a privacy monitor includes </w:t>
      </w:r>
      <w:r w:rsidRPr="008B0677">
        <w:rPr>
          <w:rFonts w:ascii="BemboStd" w:eastAsia="Times New Roman" w:hAnsi="BemboStd" w:cs="Times New Roman"/>
          <w:i/>
          <w:iCs/>
          <w:sz w:val="16"/>
          <w:szCs w:val="16"/>
        </w:rPr>
        <w:t xml:space="preserve">Fortis Advisors v. </w:t>
      </w:r>
      <w:proofErr w:type="spellStart"/>
      <w:r w:rsidRPr="008B0677">
        <w:rPr>
          <w:rFonts w:ascii="BemboStd" w:eastAsia="Times New Roman" w:hAnsi="BemboStd" w:cs="Times New Roman"/>
          <w:i/>
          <w:iCs/>
          <w:sz w:val="16"/>
          <w:szCs w:val="16"/>
        </w:rPr>
        <w:t>Sillajen</w:t>
      </w:r>
      <w:proofErr w:type="spellEnd"/>
      <w:r w:rsidRPr="008B0677">
        <w:rPr>
          <w:rFonts w:ascii="BemboStd" w:eastAsia="Times New Roman" w:hAnsi="BemboStd" w:cs="Times New Roman"/>
          <w:i/>
          <w:iCs/>
          <w:sz w:val="16"/>
          <w:szCs w:val="16"/>
        </w:rPr>
        <w:t xml:space="preserve">, Inc. </w:t>
      </w:r>
      <w:r w:rsidRPr="008B0677">
        <w:rPr>
          <w:rFonts w:ascii="BemboStd" w:eastAsia="Times New Roman" w:hAnsi="BemboStd" w:cs="Times New Roman"/>
          <w:sz w:val="16"/>
          <w:szCs w:val="16"/>
        </w:rPr>
        <w:t xml:space="preserve">(Sup. Ct., Del. 2020), </w:t>
      </w:r>
      <w:r w:rsidRPr="008B0677">
        <w:rPr>
          <w:rFonts w:ascii="BemboStd" w:eastAsia="Times New Roman" w:hAnsi="BemboStd" w:cs="Times New Roman"/>
          <w:i/>
          <w:iCs/>
          <w:sz w:val="16"/>
          <w:szCs w:val="16"/>
        </w:rPr>
        <w:t xml:space="preserve">Tiffany v. LVMH </w:t>
      </w:r>
      <w:r w:rsidRPr="008B0677">
        <w:rPr>
          <w:rFonts w:ascii="BemboStd" w:eastAsia="Times New Roman" w:hAnsi="BemboStd" w:cs="Times New Roman"/>
          <w:sz w:val="16"/>
          <w:szCs w:val="16"/>
        </w:rPr>
        <w:t xml:space="preserve">(Chancery Court, Del. 2020), </w:t>
      </w:r>
      <w:r w:rsidRPr="008B0677">
        <w:rPr>
          <w:rFonts w:ascii="BemboStd" w:eastAsia="Times New Roman" w:hAnsi="BemboStd" w:cs="Times New Roman"/>
          <w:i/>
          <w:iCs/>
          <w:sz w:val="16"/>
          <w:szCs w:val="16"/>
        </w:rPr>
        <w:t>Allianz</w:t>
      </w:r>
      <w:r w:rsidRPr="008B0677">
        <w:rPr>
          <w:rFonts w:ascii="BemboStd" w:eastAsia="Times New Roman" w:hAnsi="BemboStd" w:cs="Times New Roman"/>
          <w:i/>
          <w:iCs/>
          <w:sz w:val="16"/>
          <w:szCs w:val="16"/>
        </w:rPr>
        <w:br/>
        <w:t>Global Investors GMBH, et al. v. Bank of America Corp., et al.</w:t>
      </w:r>
      <w:r w:rsidRPr="008B0677">
        <w:rPr>
          <w:rFonts w:ascii="BemboStd" w:eastAsia="Times New Roman" w:hAnsi="BemboStd" w:cs="Times New Roman"/>
          <w:sz w:val="16"/>
          <w:szCs w:val="16"/>
        </w:rPr>
        <w:t xml:space="preserve">, (S.D.N.Y. 2020) 18 Civ. 10364 (LGS) (SDA) (2020), </w:t>
      </w:r>
      <w:r w:rsidRPr="008B0677">
        <w:rPr>
          <w:rFonts w:ascii="BemboStd" w:eastAsia="Times New Roman" w:hAnsi="BemboStd" w:cs="Times New Roman"/>
          <w:i/>
          <w:iCs/>
          <w:sz w:val="16"/>
          <w:szCs w:val="16"/>
        </w:rPr>
        <w:t xml:space="preserve">Gameloft SE v. Glass Egg Digital Media Ltd. </w:t>
      </w:r>
      <w:r w:rsidRPr="008B0677">
        <w:rPr>
          <w:rFonts w:ascii="BemboStd" w:eastAsia="Times New Roman" w:hAnsi="BemboStd" w:cs="Times New Roman"/>
          <w:sz w:val="16"/>
          <w:szCs w:val="16"/>
        </w:rPr>
        <w:t xml:space="preserve">(N.D. Cal.). </w:t>
      </w:r>
    </w:p>
    <w:p w14:paraId="26ECBDAD" w14:textId="77777777" w:rsidR="008B0677" w:rsidRPr="008B0677" w:rsidRDefault="008B0677" w:rsidP="008B0677">
      <w:pPr>
        <w:numPr>
          <w:ilvl w:val="0"/>
          <w:numId w:val="10"/>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42  See</w:t>
      </w:r>
      <w:proofErr w:type="gram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GDPR,Article</w:t>
      </w:r>
      <w:proofErr w:type="spellEnd"/>
      <w:r w:rsidRPr="008B0677">
        <w:rPr>
          <w:rFonts w:ascii="BemboStd" w:eastAsia="Times New Roman" w:hAnsi="BemboStd" w:cs="Times New Roman"/>
          <w:sz w:val="16"/>
          <w:szCs w:val="16"/>
        </w:rPr>
        <w:t xml:space="preserve"> 3.The GDPR applies to ‘the processing of personal data in the context of the activities</w:t>
      </w:r>
      <w:r w:rsidRPr="008B0677">
        <w:rPr>
          <w:rFonts w:ascii="BemboStd" w:eastAsia="Times New Roman" w:hAnsi="BemboStd" w:cs="Times New Roman"/>
          <w:sz w:val="16"/>
          <w:szCs w:val="16"/>
        </w:rPr>
        <w:br/>
        <w:t xml:space="preserve">of an establishment of a controller or a processor in the Union’ (Article 3(1), and also applies to controllers and processors not located in the European Union if the processing is used to offer goods and services to data subjects in the European Union (Article 3(2)). </w:t>
      </w:r>
    </w:p>
    <w:p w14:paraId="6335522A"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97 </w:t>
      </w:r>
    </w:p>
    <w:p w14:paraId="0F9DF791" w14:textId="3AB45B8F"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"/var/folders/3y/yz0s3nns5879wt_b0sx_g3rr0000gn/T/com.microsoft.Word/WebArchiveCopyPasteTempFiles/page17image26128000"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06C8E5E7" wp14:editId="47F91C02">
            <wp:extent cx="901700" cy="2743200"/>
            <wp:effectExtent l="0" t="0" r="0" b="0"/>
            <wp:docPr id="4" name="Picture 4" descr="page17image26128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17image261280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3A2F352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40167A2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3958D600"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As a result, anyone who manages or processes personal data is potentially subject to the Regulation, including in international litigation (as had been indicated in the 2008 EU guidance) and in international arbitration.</w:t>
      </w:r>
      <w:r w:rsidRPr="008B0677">
        <w:rPr>
          <w:rFonts w:ascii="BemboStd" w:eastAsia="Times New Roman" w:hAnsi="BemboStd" w:cs="Times New Roman"/>
          <w:position w:val="6"/>
          <w:sz w:val="12"/>
          <w:szCs w:val="12"/>
        </w:rPr>
        <w:t xml:space="preserve">43 </w:t>
      </w:r>
    </w:p>
    <w:p w14:paraId="2016A1CF"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lastRenderedPageBreak/>
        <w:t>There is not yet any detailed GDPR guidance specific to international arbitrations. However, it is clear from the detailed landmark analysis by Kathleen Paisley,</w:t>
      </w:r>
      <w:r w:rsidRPr="008B0677">
        <w:rPr>
          <w:rFonts w:ascii="BemboStd" w:eastAsia="Times New Roman" w:hAnsi="BemboStd" w:cs="Times New Roman"/>
          <w:position w:val="6"/>
          <w:sz w:val="12"/>
          <w:szCs w:val="12"/>
        </w:rPr>
        <w:t xml:space="preserve">44 </w:t>
      </w:r>
      <w:r w:rsidRPr="008B0677">
        <w:rPr>
          <w:rFonts w:ascii="BemboStd" w:eastAsia="Times New Roman" w:hAnsi="BemboStd" w:cs="Times New Roman"/>
          <w:sz w:val="20"/>
          <w:szCs w:val="20"/>
        </w:rPr>
        <w:t>and by the guidance offered by the ICCA Working Group in 2020,</w:t>
      </w:r>
      <w:r w:rsidRPr="008B0677">
        <w:rPr>
          <w:rFonts w:ascii="BemboStd" w:eastAsia="Times New Roman" w:hAnsi="BemboStd" w:cs="Times New Roman"/>
          <w:position w:val="6"/>
          <w:sz w:val="12"/>
          <w:szCs w:val="12"/>
        </w:rPr>
        <w:t xml:space="preserve">45 </w:t>
      </w:r>
      <w:r w:rsidRPr="008B0677">
        <w:rPr>
          <w:rFonts w:ascii="BemboStd" w:eastAsia="Times New Roman" w:hAnsi="BemboStd" w:cs="Times New Roman"/>
          <w:sz w:val="20"/>
          <w:szCs w:val="20"/>
        </w:rPr>
        <w:t xml:space="preserve">that arbitration practitioners must now consider the data privacy consequences of the fact-finding phase of each arbitral proceeding to account for the new data protection rules. </w:t>
      </w:r>
    </w:p>
    <w:p w14:paraId="1F4A339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Several institutions have begun to provide guidance to practitioners on how to account for the new rules,</w:t>
      </w:r>
      <w:r w:rsidRPr="008B0677">
        <w:rPr>
          <w:rFonts w:ascii="BemboStd" w:eastAsia="Times New Roman" w:hAnsi="BemboStd" w:cs="Times New Roman"/>
          <w:position w:val="6"/>
          <w:sz w:val="12"/>
          <w:szCs w:val="12"/>
        </w:rPr>
        <w:t xml:space="preserve">46 </w:t>
      </w:r>
      <w:r w:rsidRPr="008B0677">
        <w:rPr>
          <w:rFonts w:ascii="BemboStd" w:eastAsia="Times New Roman" w:hAnsi="BemboStd" w:cs="Times New Roman"/>
          <w:sz w:val="20"/>
          <w:szCs w:val="20"/>
        </w:rPr>
        <w:t>but there remains great uncertainty as to who should be taking the lead on this issue, who will be ultimately responsible should there be any sanctions and what consequences non-compliance might have on the final arbitration award.</w:t>
      </w:r>
      <w:r w:rsidRPr="008B0677">
        <w:rPr>
          <w:rFonts w:ascii="BemboStd" w:eastAsia="Times New Roman" w:hAnsi="BemboStd" w:cs="Times New Roman"/>
          <w:position w:val="6"/>
          <w:sz w:val="12"/>
          <w:szCs w:val="12"/>
        </w:rPr>
        <w:t xml:space="preserve">47 </w:t>
      </w:r>
    </w:p>
    <w:p w14:paraId="7CA9832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It is inarguable that the parties that were originally involved in data collection and processing for their businesses remain responsible for the proper handling of that data in all circumstances; the mere existence of an arbitral proceeding does not shield them from potential liability. Accordingly, parties should insist from the start of the proceedings (or even in their arbitration clause) with the tribunal and with any </w:t>
      </w:r>
      <w:proofErr w:type="spellStart"/>
      <w:r w:rsidRPr="008B0677">
        <w:rPr>
          <w:rFonts w:ascii="BemboStd" w:eastAsia="Times New Roman" w:hAnsi="BemboStd" w:cs="Times New Roman"/>
          <w:sz w:val="20"/>
          <w:szCs w:val="20"/>
        </w:rPr>
        <w:t>organising</w:t>
      </w:r>
      <w:proofErr w:type="spellEnd"/>
      <w:r w:rsidRPr="008B0677">
        <w:rPr>
          <w:rFonts w:ascii="BemboStd" w:eastAsia="Times New Roman" w:hAnsi="BemboStd" w:cs="Times New Roman"/>
          <w:sz w:val="20"/>
          <w:szCs w:val="20"/>
        </w:rPr>
        <w:t xml:space="preserve"> institution that the arbitration procedure not increase their risk under applicable privacy rules.</w:t>
      </w:r>
      <w:r w:rsidRPr="008B0677">
        <w:rPr>
          <w:rFonts w:ascii="BemboStd" w:eastAsia="Times New Roman" w:hAnsi="BemboStd" w:cs="Times New Roman"/>
          <w:position w:val="6"/>
          <w:sz w:val="12"/>
          <w:szCs w:val="12"/>
        </w:rPr>
        <w:t xml:space="preserve">48 </w:t>
      </w:r>
    </w:p>
    <w:p w14:paraId="0E18D5C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And yet both arbitration institutions and tribunals have their role to play in compliance, though both seem equally </w:t>
      </w:r>
      <w:proofErr w:type="spellStart"/>
      <w:proofErr w:type="gramStart"/>
      <w:r w:rsidRPr="008B0677">
        <w:rPr>
          <w:rFonts w:ascii="BemboStd" w:eastAsia="Times New Roman" w:hAnsi="BemboStd" w:cs="Times New Roman"/>
          <w:sz w:val="20"/>
          <w:szCs w:val="20"/>
        </w:rPr>
        <w:t>unfit,at</w:t>
      </w:r>
      <w:proofErr w:type="spellEnd"/>
      <w:proofErr w:type="gramEnd"/>
      <w:r w:rsidRPr="008B0677">
        <w:rPr>
          <w:rFonts w:ascii="BemboStd" w:eastAsia="Times New Roman" w:hAnsi="BemboStd" w:cs="Times New Roman"/>
          <w:sz w:val="20"/>
          <w:szCs w:val="20"/>
        </w:rPr>
        <w:t xml:space="preserve"> least for </w:t>
      </w:r>
      <w:proofErr w:type="spellStart"/>
      <w:r w:rsidRPr="008B0677">
        <w:rPr>
          <w:rFonts w:ascii="BemboStd" w:eastAsia="Times New Roman" w:hAnsi="BemboStd" w:cs="Times New Roman"/>
          <w:sz w:val="20"/>
          <w:szCs w:val="20"/>
        </w:rPr>
        <w:t>now,to</w:t>
      </w:r>
      <w:proofErr w:type="spellEnd"/>
      <w:r w:rsidRPr="008B0677">
        <w:rPr>
          <w:rFonts w:ascii="BemboStd" w:eastAsia="Times New Roman" w:hAnsi="BemboStd" w:cs="Times New Roman"/>
          <w:sz w:val="20"/>
          <w:szCs w:val="20"/>
        </w:rPr>
        <w:t xml:space="preserve"> do </w:t>
      </w:r>
      <w:proofErr w:type="spellStart"/>
      <w:r w:rsidRPr="008B0677">
        <w:rPr>
          <w:rFonts w:ascii="BemboStd" w:eastAsia="Times New Roman" w:hAnsi="BemboStd" w:cs="Times New Roman"/>
          <w:sz w:val="20"/>
          <w:szCs w:val="20"/>
        </w:rPr>
        <w:t>so.Arbitrators</w:t>
      </w:r>
      <w:proofErr w:type="spellEnd"/>
      <w:r w:rsidRPr="008B0677">
        <w:rPr>
          <w:rFonts w:ascii="BemboStd" w:eastAsia="Times New Roman" w:hAnsi="BemboStd" w:cs="Times New Roman"/>
          <w:sz w:val="20"/>
          <w:szCs w:val="20"/>
        </w:rPr>
        <w:t xml:space="preserve"> are selected for their many different qualities of analysis, reasoning, management and legal acumen, but rarely for their detailed knowledge of privacy law and the practical management of data protection under the GDPR. Institutions may be able to assemble more expertise and provide </w:t>
      </w:r>
      <w:proofErr w:type="spellStart"/>
      <w:r w:rsidRPr="008B0677">
        <w:rPr>
          <w:rFonts w:ascii="BemboStd" w:eastAsia="Times New Roman" w:hAnsi="BemboStd" w:cs="Times New Roman"/>
          <w:sz w:val="20"/>
          <w:szCs w:val="20"/>
        </w:rPr>
        <w:t>guid</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ance</w:t>
      </w:r>
      <w:proofErr w:type="spellEnd"/>
      <w:r w:rsidRPr="008B0677">
        <w:rPr>
          <w:rFonts w:ascii="BemboStd" w:eastAsia="Times New Roman" w:hAnsi="BemboStd" w:cs="Times New Roman"/>
          <w:sz w:val="20"/>
          <w:szCs w:val="20"/>
        </w:rPr>
        <w:t xml:space="preserve"> in individual matters, but typically do not seek to lead on such matters, particularly when staking out positions of data protection oversight could turn them into co-controllers of the personal data or otherwise create liability under the data protection laws. </w:t>
      </w:r>
    </w:p>
    <w:p w14:paraId="69CDAA60" w14:textId="77777777" w:rsidR="008B0677" w:rsidRPr="008B0677" w:rsidRDefault="008B0677" w:rsidP="008B0677">
      <w:pPr>
        <w:numPr>
          <w:ilvl w:val="0"/>
          <w:numId w:val="11"/>
        </w:num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43  But see the tribunal’s Communication to the Parties in </w:t>
      </w:r>
      <w:r w:rsidRPr="008B0677">
        <w:rPr>
          <w:rFonts w:ascii="BemboStd" w:eastAsia="Times New Roman" w:hAnsi="BemboStd" w:cs="Times New Roman"/>
          <w:i/>
          <w:iCs/>
          <w:sz w:val="16"/>
          <w:szCs w:val="16"/>
        </w:rPr>
        <w:t>Tennant Energy LLC v. Canada</w:t>
      </w:r>
      <w:r w:rsidRPr="008B0677">
        <w:rPr>
          <w:rFonts w:ascii="BemboStd" w:eastAsia="Times New Roman" w:hAnsi="BemboStd" w:cs="Times New Roman"/>
          <w:sz w:val="16"/>
          <w:szCs w:val="16"/>
        </w:rPr>
        <w:t xml:space="preserve">, 24 June 2019, https://jusmundi.com/en/document/decision/en-tennant-energy-llc-v-government-of-canada-tribunals- communication-to-the-parties-monday-24th-june-2019#decision_5475, in which an investment treaty panel held that the GDPR did not apply in investment treaty arbitration (‘the tribunal finds that an arbitration under NAFTA Chapter 11, a treaty to which neither the European Union nor its Member States are party, does not, presumptively, come within the material scope of the GDPR’). </w:t>
      </w:r>
    </w:p>
    <w:p w14:paraId="120E0D7A" w14:textId="77777777" w:rsidR="008B0677" w:rsidRPr="008B0677" w:rsidRDefault="008B0677" w:rsidP="008B0677">
      <w:pPr>
        <w:numPr>
          <w:ilvl w:val="0"/>
          <w:numId w:val="1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44  Kathleen</w:t>
      </w:r>
      <w:proofErr w:type="gramEnd"/>
      <w:r w:rsidRPr="008B0677">
        <w:rPr>
          <w:rFonts w:ascii="BemboStd" w:eastAsia="Times New Roman" w:hAnsi="BemboStd" w:cs="Times New Roman"/>
          <w:sz w:val="16"/>
          <w:szCs w:val="16"/>
        </w:rPr>
        <w:t xml:space="preserve"> Paisley, It’s All About the </w:t>
      </w:r>
      <w:proofErr w:type="spellStart"/>
      <w:r w:rsidRPr="008B0677">
        <w:rPr>
          <w:rFonts w:ascii="BemboStd" w:eastAsia="Times New Roman" w:hAnsi="BemboStd" w:cs="Times New Roman"/>
          <w:sz w:val="16"/>
          <w:szCs w:val="16"/>
        </w:rPr>
        <w:t>Data:The</w:t>
      </w:r>
      <w:proofErr w:type="spellEnd"/>
      <w:r w:rsidRPr="008B0677">
        <w:rPr>
          <w:rFonts w:ascii="BemboStd" w:eastAsia="Times New Roman" w:hAnsi="BemboStd" w:cs="Times New Roman"/>
          <w:sz w:val="16"/>
          <w:szCs w:val="16"/>
        </w:rPr>
        <w:t xml:space="preserve"> Impact of the EU General Data Protection Regulation on International Arbitration, 41 </w:t>
      </w:r>
      <w:r w:rsidRPr="008B0677">
        <w:rPr>
          <w:rFonts w:ascii="BemboStd" w:eastAsia="Times New Roman" w:hAnsi="BemboStd" w:cs="Times New Roman"/>
          <w:i/>
          <w:iCs/>
          <w:sz w:val="16"/>
          <w:szCs w:val="16"/>
        </w:rPr>
        <w:t xml:space="preserve">Fordham Int’l L.J. </w:t>
      </w:r>
      <w:r w:rsidRPr="008B0677">
        <w:rPr>
          <w:rFonts w:ascii="BemboStd" w:eastAsia="Times New Roman" w:hAnsi="BemboStd" w:cs="Times New Roman"/>
          <w:sz w:val="16"/>
          <w:szCs w:val="16"/>
        </w:rPr>
        <w:t xml:space="preserve">841 (2018), https://ir.lawnet.fordham.edu/ilj/vol41/iss4/4. </w:t>
      </w:r>
    </w:p>
    <w:p w14:paraId="4027CAAD" w14:textId="77777777" w:rsidR="008B0677" w:rsidRPr="008B0677" w:rsidRDefault="008B0677" w:rsidP="008B0677">
      <w:pPr>
        <w:numPr>
          <w:ilvl w:val="0"/>
          <w:numId w:val="1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45  ICCA</w:t>
      </w:r>
      <w:proofErr w:type="gramEnd"/>
      <w:r w:rsidRPr="008B0677">
        <w:rPr>
          <w:rFonts w:ascii="BemboStd" w:eastAsia="Times New Roman" w:hAnsi="BemboStd" w:cs="Times New Roman"/>
          <w:sz w:val="16"/>
          <w:szCs w:val="16"/>
        </w:rPr>
        <w:t xml:space="preserve">-IBA Roadmap to Data Protection in International Arbitration, 28 February 2020 version (for public consultation) https://www.arbitration-icca.org/media/14/18191123957287/roadmap_28.02.20.pdf. </w:t>
      </w:r>
    </w:p>
    <w:p w14:paraId="51972204" w14:textId="77777777" w:rsidR="008B0677" w:rsidRPr="008B0677" w:rsidRDefault="008B0677" w:rsidP="008B0677">
      <w:pPr>
        <w:numPr>
          <w:ilvl w:val="0"/>
          <w:numId w:val="1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46  See</w:t>
      </w:r>
      <w:proofErr w:type="gramEnd"/>
      <w:r w:rsidRPr="008B0677">
        <w:rPr>
          <w:rFonts w:ascii="BemboStd" w:eastAsia="Times New Roman" w:hAnsi="BemboStd" w:cs="Times New Roman"/>
          <w:sz w:val="16"/>
          <w:szCs w:val="16"/>
        </w:rPr>
        <w:t xml:space="preserve"> ICC Note on the conduct of the arbitration 2019, Para. 80, p. 12; 2020 Privacy Policy of the German Arbitration </w:t>
      </w:r>
      <w:proofErr w:type="spellStart"/>
      <w:proofErr w:type="gramStart"/>
      <w:r w:rsidRPr="008B0677">
        <w:rPr>
          <w:rFonts w:ascii="BemboStd" w:eastAsia="Times New Roman" w:hAnsi="BemboStd" w:cs="Times New Roman"/>
          <w:sz w:val="16"/>
          <w:szCs w:val="16"/>
        </w:rPr>
        <w:t>Institute;Vienna</w:t>
      </w:r>
      <w:proofErr w:type="spellEnd"/>
      <w:proofErr w:type="gramEnd"/>
      <w:r w:rsidRPr="008B0677">
        <w:rPr>
          <w:rFonts w:ascii="BemboStd" w:eastAsia="Times New Roman" w:hAnsi="BemboStd" w:cs="Times New Roman"/>
          <w:sz w:val="16"/>
          <w:szCs w:val="16"/>
        </w:rPr>
        <w:t xml:space="preserve"> International Arbitration Centre Arbitration Privacy Policy. </w:t>
      </w:r>
    </w:p>
    <w:p w14:paraId="2E00E51F" w14:textId="77777777" w:rsidR="008B0677" w:rsidRPr="008B0677" w:rsidRDefault="008B0677" w:rsidP="008B0677">
      <w:pPr>
        <w:numPr>
          <w:ilvl w:val="0"/>
          <w:numId w:val="1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47  As</w:t>
      </w:r>
      <w:proofErr w:type="gramEnd"/>
      <w:r w:rsidRPr="008B0677">
        <w:rPr>
          <w:rFonts w:ascii="BemboStd" w:eastAsia="Times New Roman" w:hAnsi="BemboStd" w:cs="Times New Roman"/>
          <w:sz w:val="16"/>
          <w:szCs w:val="16"/>
        </w:rPr>
        <w:t xml:space="preserve"> Article 48 of the GDPR acts as a blocking statute, there is a risk that non-compliance could render</w:t>
      </w:r>
      <w:r w:rsidRPr="008B0677">
        <w:rPr>
          <w:rFonts w:ascii="BemboStd" w:eastAsia="Times New Roman" w:hAnsi="BemboStd" w:cs="Times New Roman"/>
          <w:sz w:val="16"/>
          <w:szCs w:val="16"/>
        </w:rPr>
        <w:br/>
        <w:t xml:space="preserve">the final award unenforceable as the award itself is ‘tainted’ by the violation of the rule. See </w:t>
      </w:r>
      <w:r w:rsidRPr="008B0677">
        <w:rPr>
          <w:rFonts w:ascii="BemboStd" w:eastAsia="Times New Roman" w:hAnsi="BemboStd" w:cs="Times New Roman"/>
          <w:i/>
          <w:iCs/>
          <w:sz w:val="16"/>
          <w:szCs w:val="16"/>
        </w:rPr>
        <w:t xml:space="preserve">Pierre </w:t>
      </w:r>
      <w:proofErr w:type="spellStart"/>
      <w:r w:rsidRPr="008B0677">
        <w:rPr>
          <w:rFonts w:ascii="BemboStd" w:eastAsia="Times New Roman" w:hAnsi="BemboStd" w:cs="Times New Roman"/>
          <w:i/>
          <w:iCs/>
          <w:sz w:val="16"/>
          <w:szCs w:val="16"/>
        </w:rPr>
        <w:t>Chapgier</w:t>
      </w:r>
      <w:proofErr w:type="spellEnd"/>
      <w:r w:rsidRPr="008B0677">
        <w:rPr>
          <w:rFonts w:ascii="BemboStd" w:eastAsia="Times New Roman" w:hAnsi="BemboStd" w:cs="Times New Roman"/>
          <w:i/>
          <w:iCs/>
          <w:sz w:val="16"/>
          <w:szCs w:val="16"/>
        </w:rPr>
        <w:t xml:space="preserve"> </w:t>
      </w:r>
      <w:proofErr w:type="spellStart"/>
      <w:proofErr w:type="gramStart"/>
      <w:r w:rsidRPr="008B0677">
        <w:rPr>
          <w:rFonts w:ascii="BemboStd" w:eastAsia="Times New Roman" w:hAnsi="BemboStd" w:cs="Times New Roman"/>
          <w:i/>
          <w:iCs/>
          <w:sz w:val="16"/>
          <w:szCs w:val="16"/>
        </w:rPr>
        <w:t>v.Taitbout</w:t>
      </w:r>
      <w:proofErr w:type="spellEnd"/>
      <w:proofErr w:type="gramEnd"/>
      <w:r w:rsidRPr="008B0677">
        <w:rPr>
          <w:rFonts w:ascii="BemboStd" w:eastAsia="Times New Roman" w:hAnsi="BemboStd" w:cs="Times New Roman"/>
          <w:i/>
          <w:iCs/>
          <w:sz w:val="16"/>
          <w:szCs w:val="16"/>
        </w:rPr>
        <w:t xml:space="preserve"> </w:t>
      </w:r>
      <w:proofErr w:type="spellStart"/>
      <w:r w:rsidRPr="008B0677">
        <w:rPr>
          <w:rFonts w:ascii="BemboStd" w:eastAsia="Times New Roman" w:hAnsi="BemboStd" w:cs="Times New Roman"/>
          <w:i/>
          <w:iCs/>
          <w:sz w:val="16"/>
          <w:szCs w:val="16"/>
        </w:rPr>
        <w:t>Prévoyance</w:t>
      </w:r>
      <w:proofErr w:type="spellEnd"/>
      <w:r w:rsidRPr="008B0677">
        <w:rPr>
          <w:rFonts w:ascii="BemboStd" w:eastAsia="Times New Roman" w:hAnsi="BemboStd" w:cs="Times New Roman"/>
          <w:sz w:val="16"/>
          <w:szCs w:val="16"/>
        </w:rPr>
        <w:t xml:space="preserve">, High Court of Paris, 14 May 2008, No. 07-11004 (stating in dicta that a US court judgment obtained using illicit discovery in violation of the Convention would not be enforceable in France). </w:t>
      </w:r>
    </w:p>
    <w:p w14:paraId="73629ECA" w14:textId="77777777" w:rsidR="008B0677" w:rsidRPr="008B0677" w:rsidRDefault="008B0677" w:rsidP="008B0677">
      <w:pPr>
        <w:numPr>
          <w:ilvl w:val="0"/>
          <w:numId w:val="11"/>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48  Paisley</w:t>
      </w:r>
      <w:proofErr w:type="gramEnd"/>
      <w:r w:rsidRPr="008B0677">
        <w:rPr>
          <w:rFonts w:ascii="BemboStd" w:eastAsia="Times New Roman" w:hAnsi="BemboStd" w:cs="Times New Roman"/>
          <w:sz w:val="16"/>
          <w:szCs w:val="16"/>
        </w:rPr>
        <w:t xml:space="preserve">, supra note 44, recommending an arbitration clause providing ‘The Parties agree to apply, and that the tribunal and the institution shall apply, mandatory data protection obligations during the arbitration in a manner that is proportionate to the risk and that adequately protects data subject rights, while preserving the parties’ due process rights’. Such a clause could also be included in the terms of reference or similar </w:t>
      </w:r>
      <w:proofErr w:type="spellStart"/>
      <w:r w:rsidRPr="008B0677">
        <w:rPr>
          <w:rFonts w:ascii="BemboStd" w:eastAsia="Times New Roman" w:hAnsi="BemboStd" w:cs="Times New Roman"/>
          <w:sz w:val="16"/>
          <w:szCs w:val="16"/>
        </w:rPr>
        <w:t>organisational</w:t>
      </w:r>
      <w:proofErr w:type="spellEnd"/>
      <w:r w:rsidRPr="008B0677">
        <w:rPr>
          <w:rFonts w:ascii="BemboStd" w:eastAsia="Times New Roman" w:hAnsi="BemboStd" w:cs="Times New Roman"/>
          <w:sz w:val="16"/>
          <w:szCs w:val="16"/>
        </w:rPr>
        <w:t xml:space="preserve"> document in the proceedings. </w:t>
      </w:r>
    </w:p>
    <w:p w14:paraId="2972A4FE"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98 </w:t>
      </w:r>
    </w:p>
    <w:p w14:paraId="2E30769F" w14:textId="7BFB4696"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lastRenderedPageBreak/>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"/var/folders/3y/yz0s3nns5879wt_b0sx_g3rr0000gn/T/com.microsoft.Word/WebArchiveCopyPasteTempFiles/page18image25284736"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64289007" wp14:editId="4D9F8698">
            <wp:extent cx="901700" cy="2743200"/>
            <wp:effectExtent l="0" t="0" r="0" b="0"/>
            <wp:docPr id="3" name="Picture 3" descr="page18image25284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ge18image2528473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14437D2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7C249D9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23BE05E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It will fall, then, to the tribunal to address the issue on a case-by-case basis, upon con- </w:t>
      </w:r>
      <w:proofErr w:type="spellStart"/>
      <w:r w:rsidRPr="008B0677">
        <w:rPr>
          <w:rFonts w:ascii="BemboStd" w:eastAsia="Times New Roman" w:hAnsi="BemboStd" w:cs="Times New Roman"/>
          <w:sz w:val="20"/>
          <w:szCs w:val="20"/>
        </w:rPr>
        <w:t>sultation</w:t>
      </w:r>
      <w:proofErr w:type="spellEnd"/>
      <w:r w:rsidRPr="008B0677">
        <w:rPr>
          <w:rFonts w:ascii="BemboStd" w:eastAsia="Times New Roman" w:hAnsi="BemboStd" w:cs="Times New Roman"/>
          <w:sz w:val="20"/>
          <w:szCs w:val="20"/>
        </w:rPr>
        <w:t xml:space="preserve"> with the parties as to the nature and extent of the personal data that they expect will be exchanged and communicated with the </w:t>
      </w:r>
      <w:proofErr w:type="spellStart"/>
      <w:r w:rsidRPr="008B0677">
        <w:rPr>
          <w:rFonts w:ascii="BemboStd" w:eastAsia="Times New Roman" w:hAnsi="BemboStd" w:cs="Times New Roman"/>
          <w:sz w:val="20"/>
          <w:szCs w:val="20"/>
        </w:rPr>
        <w:t>tribunal.The</w:t>
      </w:r>
      <w:proofErr w:type="spellEnd"/>
      <w:r w:rsidRPr="008B0677">
        <w:rPr>
          <w:rFonts w:ascii="BemboStd" w:eastAsia="Times New Roman" w:hAnsi="BemboStd" w:cs="Times New Roman"/>
          <w:sz w:val="20"/>
          <w:szCs w:val="20"/>
        </w:rPr>
        <w:t xml:space="preserve"> responsibility for raising and resolving the data privacy issues also falls to the tribunal because it is a more active </w:t>
      </w:r>
      <w:proofErr w:type="spellStart"/>
      <w:r w:rsidRPr="008B0677">
        <w:rPr>
          <w:rFonts w:ascii="BemboStd" w:eastAsia="Times New Roman" w:hAnsi="BemboStd" w:cs="Times New Roman"/>
          <w:sz w:val="20"/>
          <w:szCs w:val="20"/>
        </w:rPr>
        <w:t>partici</w:t>
      </w:r>
      <w:proofErr w:type="spellEnd"/>
      <w:r w:rsidRPr="008B0677">
        <w:rPr>
          <w:rFonts w:ascii="BemboStd" w:eastAsia="Times New Roman" w:hAnsi="BemboStd" w:cs="Times New Roman"/>
          <w:sz w:val="20"/>
          <w:szCs w:val="20"/>
        </w:rPr>
        <w:t xml:space="preserve">- pant in setting the rules of disclosure, and in overseeing in the process, than a national court judge would be. Unlike discovery in a US civil matter, where the parties exchange </w:t>
      </w:r>
      <w:proofErr w:type="spellStart"/>
      <w:r w:rsidRPr="008B0677">
        <w:rPr>
          <w:rFonts w:ascii="BemboStd" w:eastAsia="Times New Roman" w:hAnsi="BemboStd" w:cs="Times New Roman"/>
          <w:sz w:val="20"/>
          <w:szCs w:val="20"/>
        </w:rPr>
        <w:t>docu</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ments</w:t>
      </w:r>
      <w:proofErr w:type="spellEnd"/>
      <w:r w:rsidRPr="008B0677">
        <w:rPr>
          <w:rFonts w:ascii="BemboStd" w:eastAsia="Times New Roman" w:hAnsi="BemboStd" w:cs="Times New Roman"/>
          <w:sz w:val="20"/>
          <w:szCs w:val="20"/>
        </w:rPr>
        <w:t xml:space="preserve"> and witness testimony among themselves without submitting any of the exchanged information to the court unless there is either a discovery dispute or the information is put into evidence, arbitration panels can be involved from the start in reviewing </w:t>
      </w:r>
      <w:proofErr w:type="spellStart"/>
      <w:r w:rsidRPr="008B0677">
        <w:rPr>
          <w:rFonts w:ascii="BemboStd" w:eastAsia="Times New Roman" w:hAnsi="BemboStd" w:cs="Times New Roman"/>
          <w:sz w:val="20"/>
          <w:szCs w:val="20"/>
        </w:rPr>
        <w:t>docu</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ment</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requests,defining</w:t>
      </w:r>
      <w:proofErr w:type="spellEnd"/>
      <w:r w:rsidRPr="008B0677">
        <w:rPr>
          <w:rFonts w:ascii="BemboStd" w:eastAsia="Times New Roman" w:hAnsi="BemboStd" w:cs="Times New Roman"/>
          <w:sz w:val="20"/>
          <w:szCs w:val="20"/>
        </w:rPr>
        <w:t xml:space="preserve"> the allowable scope of </w:t>
      </w:r>
      <w:proofErr w:type="spellStart"/>
      <w:r w:rsidRPr="008B0677">
        <w:rPr>
          <w:rFonts w:ascii="BemboStd" w:eastAsia="Times New Roman" w:hAnsi="BemboStd" w:cs="Times New Roman"/>
          <w:sz w:val="20"/>
          <w:szCs w:val="20"/>
        </w:rPr>
        <w:t>discovery,reviewing</w:t>
      </w:r>
      <w:proofErr w:type="spellEnd"/>
      <w:r w:rsidRPr="008B0677">
        <w:rPr>
          <w:rFonts w:ascii="BemboStd" w:eastAsia="Times New Roman" w:hAnsi="BemboStd" w:cs="Times New Roman"/>
          <w:sz w:val="20"/>
          <w:szCs w:val="20"/>
        </w:rPr>
        <w:t xml:space="preserve"> and narrowing Redfern schedules and even – if deemed necessary by the tribunal for oversight – receiving copies of each side’s documents before individual documents have been selected by the parties for submission as evidence. As a more active participant in the discovery process, there is accordingly a greater risk that the tribunal could be considered a co-controller of the data under the GDPR because it is determining with the </w:t>
      </w:r>
      <w:proofErr w:type="spellStart"/>
      <w:proofErr w:type="gramStart"/>
      <w:r w:rsidRPr="008B0677">
        <w:rPr>
          <w:rFonts w:ascii="BemboStd" w:eastAsia="Times New Roman" w:hAnsi="BemboStd" w:cs="Times New Roman"/>
          <w:sz w:val="20"/>
          <w:szCs w:val="20"/>
        </w:rPr>
        <w:t>parties,‘</w:t>
      </w:r>
      <w:proofErr w:type="gramEnd"/>
      <w:r w:rsidRPr="008B0677">
        <w:rPr>
          <w:rFonts w:ascii="BemboStd" w:eastAsia="Times New Roman" w:hAnsi="BemboStd" w:cs="Times New Roman"/>
          <w:sz w:val="20"/>
          <w:szCs w:val="20"/>
        </w:rPr>
        <w:t>the</w:t>
      </w:r>
      <w:proofErr w:type="spellEnd"/>
      <w:r w:rsidRPr="008B0677">
        <w:rPr>
          <w:rFonts w:ascii="BemboStd" w:eastAsia="Times New Roman" w:hAnsi="BemboStd" w:cs="Times New Roman"/>
          <w:sz w:val="20"/>
          <w:szCs w:val="20"/>
        </w:rPr>
        <w:t xml:space="preserve"> purposes and means of the processing of personal data’.</w:t>
      </w:r>
      <w:r w:rsidRPr="008B0677">
        <w:rPr>
          <w:rFonts w:ascii="BemboStd" w:eastAsia="Times New Roman" w:hAnsi="BemboStd" w:cs="Times New Roman"/>
          <w:position w:val="6"/>
          <w:sz w:val="12"/>
          <w:szCs w:val="12"/>
        </w:rPr>
        <w:t xml:space="preserve">49 </w:t>
      </w:r>
    </w:p>
    <w:p w14:paraId="4BF4CE79"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As with the other subjects addressed in this chapter, it is recommended that the tribunal raise this issue early on with the parties and the institution, and if the institutional rules do not adequately address the management of the data protection and the allocation of potential liability, then the tribunal should address this in the terms of </w:t>
      </w:r>
      <w:proofErr w:type="gramStart"/>
      <w:r w:rsidRPr="008B0677">
        <w:rPr>
          <w:rFonts w:ascii="BemboStd" w:eastAsia="Times New Roman" w:hAnsi="BemboStd" w:cs="Times New Roman"/>
          <w:sz w:val="20"/>
          <w:szCs w:val="20"/>
        </w:rPr>
        <w:t>reference</w:t>
      </w:r>
      <w:proofErr w:type="gramEnd"/>
      <w:r w:rsidRPr="008B0677">
        <w:rPr>
          <w:rFonts w:ascii="BemboStd" w:eastAsia="Times New Roman" w:hAnsi="BemboStd" w:cs="Times New Roman"/>
          <w:sz w:val="20"/>
          <w:szCs w:val="20"/>
        </w:rPr>
        <w:t xml:space="preserve"> or another </w:t>
      </w:r>
      <w:proofErr w:type="spellStart"/>
      <w:r w:rsidRPr="008B0677">
        <w:rPr>
          <w:rFonts w:ascii="BemboStd" w:eastAsia="Times New Roman" w:hAnsi="BemboStd" w:cs="Times New Roman"/>
          <w:sz w:val="20"/>
          <w:szCs w:val="20"/>
        </w:rPr>
        <w:t>organisational</w:t>
      </w:r>
      <w:proofErr w:type="spellEnd"/>
      <w:r w:rsidRPr="008B0677">
        <w:rPr>
          <w:rFonts w:ascii="BemboStd" w:eastAsia="Times New Roman" w:hAnsi="BemboStd" w:cs="Times New Roman"/>
          <w:sz w:val="20"/>
          <w:szCs w:val="20"/>
        </w:rPr>
        <w:t xml:space="preserve"> document agreed by the parties. </w:t>
      </w:r>
    </w:p>
    <w:p w14:paraId="09A1DF3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In particular, the tribunal should restate the obligation of each party to: </w:t>
      </w:r>
    </w:p>
    <w:p w14:paraId="21FCD9A2"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comply with the data protection rules that apply to its </w:t>
      </w:r>
      <w:proofErr w:type="gramStart"/>
      <w:r w:rsidRPr="008B0677">
        <w:rPr>
          <w:rFonts w:ascii="BemboStd" w:eastAsia="Times New Roman" w:hAnsi="BemboStd" w:cs="Times New Roman"/>
          <w:sz w:val="20"/>
          <w:szCs w:val="20"/>
        </w:rPr>
        <w:t>data;</w:t>
      </w:r>
      <w:proofErr w:type="gramEnd"/>
      <w:r w:rsidRPr="008B0677">
        <w:rPr>
          <w:rFonts w:ascii="BemboStd" w:eastAsia="Times New Roman" w:hAnsi="BemboStd" w:cs="Times New Roman"/>
          <w:sz w:val="20"/>
          <w:szCs w:val="20"/>
        </w:rPr>
        <w:t xml:space="preserve"> </w:t>
      </w:r>
    </w:p>
    <w:p w14:paraId="7C35EC79"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raise any concerns with the tribunal about the potential processing of the discovery </w:t>
      </w:r>
    </w:p>
    <w:p w14:paraId="3BBDC8E1"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in the arbitral process so that the rules regarding onward transfer of personal data are </w:t>
      </w:r>
    </w:p>
    <w:p w14:paraId="7AD0415E"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complied </w:t>
      </w:r>
      <w:proofErr w:type="gramStart"/>
      <w:r w:rsidRPr="008B0677">
        <w:rPr>
          <w:rFonts w:ascii="BemboStd" w:eastAsia="Times New Roman" w:hAnsi="BemboStd" w:cs="Times New Roman"/>
          <w:sz w:val="20"/>
          <w:szCs w:val="20"/>
        </w:rPr>
        <w:t>with;</w:t>
      </w:r>
      <w:proofErr w:type="gramEnd"/>
      <w:r w:rsidRPr="008B0677">
        <w:rPr>
          <w:rFonts w:ascii="BemboStd" w:eastAsia="Times New Roman" w:hAnsi="BemboStd" w:cs="Times New Roman"/>
          <w:sz w:val="20"/>
          <w:szCs w:val="20"/>
        </w:rPr>
        <w:t xml:space="preserve"> </w:t>
      </w:r>
    </w:p>
    <w:p w14:paraId="2268A6FD"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consider whether a particular confidentiality or protective order should be adopted by </w:t>
      </w:r>
    </w:p>
    <w:p w14:paraId="23DB0ADC"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lastRenderedPageBreak/>
        <w:t xml:space="preserve">the </w:t>
      </w:r>
      <w:proofErr w:type="gramStart"/>
      <w:r w:rsidRPr="008B0677">
        <w:rPr>
          <w:rFonts w:ascii="BemboStd" w:eastAsia="Times New Roman" w:hAnsi="BemboStd" w:cs="Times New Roman"/>
          <w:sz w:val="20"/>
          <w:szCs w:val="20"/>
        </w:rPr>
        <w:t>tribunal;</w:t>
      </w:r>
      <w:proofErr w:type="gramEnd"/>
      <w:r w:rsidRPr="008B0677">
        <w:rPr>
          <w:rFonts w:ascii="BemboStd" w:eastAsia="Times New Roman" w:hAnsi="BemboStd" w:cs="Times New Roman"/>
          <w:sz w:val="20"/>
          <w:szCs w:val="20"/>
        </w:rPr>
        <w:t xml:space="preserve"> </w:t>
      </w:r>
    </w:p>
    <w:p w14:paraId="253C5052"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consider whether to use standard contractual clauses (SCCs) to ensure protection of </w:t>
      </w:r>
    </w:p>
    <w:p w14:paraId="15E22EB0"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personal data in discovery, or if the tribunal should do </w:t>
      </w:r>
      <w:proofErr w:type="gramStart"/>
      <w:r w:rsidRPr="008B0677">
        <w:rPr>
          <w:rFonts w:ascii="BemboStd" w:eastAsia="Times New Roman" w:hAnsi="BemboStd" w:cs="Times New Roman"/>
          <w:sz w:val="20"/>
          <w:szCs w:val="20"/>
        </w:rPr>
        <w:t>this;</w:t>
      </w:r>
      <w:proofErr w:type="gramEnd"/>
      <w:r w:rsidRPr="008B0677">
        <w:rPr>
          <w:rFonts w:ascii="BemboStd" w:eastAsia="Times New Roman" w:hAnsi="BemboStd" w:cs="Times New Roman"/>
          <w:sz w:val="20"/>
          <w:szCs w:val="20"/>
        </w:rPr>
        <w:t xml:space="preserve"> </w:t>
      </w:r>
    </w:p>
    <w:p w14:paraId="2125C1B3"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consider whether any special forms of data security should be used if the documents are </w:t>
      </w:r>
    </w:p>
    <w:p w14:paraId="4084A680"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of an especially sensitive </w:t>
      </w:r>
      <w:proofErr w:type="gramStart"/>
      <w:r w:rsidRPr="008B0677">
        <w:rPr>
          <w:rFonts w:ascii="BemboStd" w:eastAsia="Times New Roman" w:hAnsi="BemboStd" w:cs="Times New Roman"/>
          <w:sz w:val="20"/>
          <w:szCs w:val="20"/>
        </w:rPr>
        <w:t>nature;</w:t>
      </w:r>
      <w:proofErr w:type="gramEnd"/>
      <w:r w:rsidRPr="008B0677">
        <w:rPr>
          <w:rFonts w:ascii="BemboStd" w:eastAsia="Times New Roman" w:hAnsi="BemboStd" w:cs="Times New Roman"/>
          <w:sz w:val="20"/>
          <w:szCs w:val="20"/>
        </w:rPr>
        <w:t xml:space="preserve"> </w:t>
      </w:r>
    </w:p>
    <w:p w14:paraId="3BF4585D"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consider limiting access to certain documents to counsel and experts; and </w:t>
      </w:r>
    </w:p>
    <w:p w14:paraId="27EEB5CA" w14:textId="77777777" w:rsidR="008B0677" w:rsidRPr="008B0677" w:rsidRDefault="008B0677" w:rsidP="008B0677">
      <w:pPr>
        <w:numPr>
          <w:ilvl w:val="0"/>
          <w:numId w:val="12"/>
        </w:numPr>
        <w:spacing w:before="100" w:beforeAutospacing="1" w:after="100" w:afterAutospacing="1"/>
        <w:rPr>
          <w:rFonts w:ascii="BemboStd" w:eastAsia="Times New Roman" w:hAnsi="BemboStd" w:cs="Times New Roman"/>
          <w:sz w:val="20"/>
          <w:szCs w:val="20"/>
        </w:rPr>
      </w:pPr>
      <w:r w:rsidRPr="008B0677">
        <w:rPr>
          <w:rFonts w:ascii="BemboStd" w:eastAsia="Times New Roman" w:hAnsi="BemboStd" w:cs="Times New Roman"/>
          <w:sz w:val="20"/>
          <w:szCs w:val="20"/>
        </w:rPr>
        <w:t xml:space="preserve">consider steps to </w:t>
      </w:r>
      <w:proofErr w:type="spellStart"/>
      <w:r w:rsidRPr="008B0677">
        <w:rPr>
          <w:rFonts w:ascii="BemboStd" w:eastAsia="Times New Roman" w:hAnsi="BemboStd" w:cs="Times New Roman"/>
          <w:sz w:val="20"/>
          <w:szCs w:val="20"/>
        </w:rPr>
        <w:t>minimise</w:t>
      </w:r>
      <w:proofErr w:type="spellEnd"/>
      <w:r w:rsidRPr="008B0677">
        <w:rPr>
          <w:rFonts w:ascii="BemboStd" w:eastAsia="Times New Roman" w:hAnsi="BemboStd" w:cs="Times New Roman"/>
          <w:sz w:val="20"/>
          <w:szCs w:val="20"/>
        </w:rPr>
        <w:t xml:space="preserve"> the personal data contained in the discovery (through </w:t>
      </w:r>
    </w:p>
    <w:p w14:paraId="0BC0BD3C"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proofErr w:type="spellStart"/>
      <w:r w:rsidRPr="008B0677">
        <w:rPr>
          <w:rFonts w:ascii="BemboStd" w:eastAsia="Times New Roman" w:hAnsi="BemboStd" w:cs="Times New Roman"/>
          <w:sz w:val="20"/>
          <w:szCs w:val="20"/>
        </w:rPr>
        <w:t>pseudonymisation</w:t>
      </w:r>
      <w:proofErr w:type="spellEnd"/>
      <w:r w:rsidRPr="008B0677">
        <w:rPr>
          <w:rFonts w:ascii="BemboStd" w:eastAsia="Times New Roman" w:hAnsi="BemboStd" w:cs="Times New Roman"/>
          <w:sz w:val="20"/>
          <w:szCs w:val="20"/>
        </w:rPr>
        <w:t xml:space="preserve"> or </w:t>
      </w:r>
      <w:proofErr w:type="spellStart"/>
      <w:r w:rsidRPr="008B0677">
        <w:rPr>
          <w:rFonts w:ascii="BemboStd" w:eastAsia="Times New Roman" w:hAnsi="BemboStd" w:cs="Times New Roman"/>
          <w:sz w:val="20"/>
          <w:szCs w:val="20"/>
        </w:rPr>
        <w:t>anonymisation</w:t>
      </w:r>
      <w:proofErr w:type="spellEnd"/>
      <w:r w:rsidRPr="008B0677">
        <w:rPr>
          <w:rFonts w:ascii="BemboStd" w:eastAsia="Times New Roman" w:hAnsi="BemboStd" w:cs="Times New Roman"/>
          <w:sz w:val="20"/>
          <w:szCs w:val="20"/>
        </w:rPr>
        <w:t xml:space="preserve">). </w:t>
      </w:r>
    </w:p>
    <w:p w14:paraId="7C2858C5" w14:textId="77777777" w:rsidR="008B0677" w:rsidRPr="008B0677" w:rsidRDefault="008B0677" w:rsidP="008B0677">
      <w:pPr>
        <w:spacing w:before="100" w:beforeAutospacing="1" w:after="100" w:afterAutospacing="1"/>
        <w:ind w:left="720"/>
        <w:rPr>
          <w:rFonts w:ascii="BemboStd" w:eastAsia="Times New Roman" w:hAnsi="BemboStd" w:cs="Times New Roman"/>
          <w:sz w:val="20"/>
          <w:szCs w:val="20"/>
        </w:rPr>
      </w:pPr>
      <w:r w:rsidRPr="008B0677">
        <w:rPr>
          <w:rFonts w:ascii="BemboStd" w:eastAsia="Times New Roman" w:hAnsi="BemboStd" w:cs="Times New Roman"/>
          <w:sz w:val="20"/>
          <w:szCs w:val="20"/>
        </w:rPr>
        <w:t xml:space="preserve">Until July 2020, many international personal data transfers, including in arbitration, were made by companies that had registered under the Privacy Shield, a mechanism </w:t>
      </w:r>
      <w:proofErr w:type="spellStart"/>
      <w:r w:rsidRPr="008B0677">
        <w:rPr>
          <w:rFonts w:ascii="BemboStd" w:eastAsia="Times New Roman" w:hAnsi="BemboStd" w:cs="Times New Roman"/>
          <w:sz w:val="20"/>
          <w:szCs w:val="20"/>
        </w:rPr>
        <w:t>devel</w:t>
      </w:r>
      <w:proofErr w:type="spellEnd"/>
      <w:r w:rsidRPr="008B0677">
        <w:rPr>
          <w:rFonts w:ascii="BemboStd" w:eastAsia="Times New Roman" w:hAnsi="BemboStd" w:cs="Times New Roman"/>
          <w:sz w:val="20"/>
          <w:szCs w:val="20"/>
        </w:rPr>
        <w:t xml:space="preserve">- </w:t>
      </w:r>
      <w:proofErr w:type="spellStart"/>
      <w:r w:rsidRPr="008B0677">
        <w:rPr>
          <w:rFonts w:ascii="BemboStd" w:eastAsia="Times New Roman" w:hAnsi="BemboStd" w:cs="Times New Roman"/>
          <w:sz w:val="20"/>
          <w:szCs w:val="20"/>
        </w:rPr>
        <w:t>oped</w:t>
      </w:r>
      <w:proofErr w:type="spellEnd"/>
      <w:r w:rsidRPr="008B0677">
        <w:rPr>
          <w:rFonts w:ascii="BemboStd" w:eastAsia="Times New Roman" w:hAnsi="BemboStd" w:cs="Times New Roman"/>
          <w:sz w:val="20"/>
          <w:szCs w:val="20"/>
        </w:rPr>
        <w:t xml:space="preserve"> in 2016 by the European Union and the US Department of Commerce after the original Safe Harbor framework was annulled by the ECJ.</w:t>
      </w:r>
      <w:r w:rsidRPr="008B0677">
        <w:rPr>
          <w:rFonts w:ascii="BemboStd" w:eastAsia="Times New Roman" w:hAnsi="BemboStd" w:cs="Times New Roman"/>
          <w:position w:val="6"/>
          <w:sz w:val="12"/>
          <w:szCs w:val="12"/>
        </w:rPr>
        <w:t>50</w:t>
      </w:r>
      <w:r w:rsidRPr="008B0677">
        <w:rPr>
          <w:rFonts w:ascii="BemboStd" w:eastAsia="Times New Roman" w:hAnsi="BemboStd" w:cs="Times New Roman"/>
          <w:sz w:val="20"/>
          <w:szCs w:val="20"/>
        </w:rPr>
        <w:t xml:space="preserve">. On 16 July 2020, the ECJ ruled that the Privacy Shield framework also violated EU law, owing to what the court </w:t>
      </w:r>
    </w:p>
    <w:p w14:paraId="32E283B0" w14:textId="77777777" w:rsidR="008B0677" w:rsidRPr="008B0677" w:rsidRDefault="008B0677" w:rsidP="008B0677">
      <w:pPr>
        <w:numPr>
          <w:ilvl w:val="1"/>
          <w:numId w:val="12"/>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49  </w:t>
      </w:r>
      <w:proofErr w:type="spellStart"/>
      <w:r w:rsidRPr="008B0677">
        <w:rPr>
          <w:rFonts w:ascii="BemboStd" w:eastAsia="Times New Roman" w:hAnsi="BemboStd" w:cs="Times New Roman"/>
          <w:sz w:val="16"/>
          <w:szCs w:val="16"/>
        </w:rPr>
        <w:t>GDPR</w:t>
      </w:r>
      <w:proofErr w:type="gramEnd"/>
      <w:r w:rsidRPr="008B0677">
        <w:rPr>
          <w:rFonts w:ascii="BemboStd" w:eastAsia="Times New Roman" w:hAnsi="BemboStd" w:cs="Times New Roman"/>
          <w:sz w:val="16"/>
          <w:szCs w:val="16"/>
        </w:rPr>
        <w:t>,Article</w:t>
      </w:r>
      <w:proofErr w:type="spellEnd"/>
      <w:r w:rsidRPr="008B0677">
        <w:rPr>
          <w:rFonts w:ascii="BemboStd" w:eastAsia="Times New Roman" w:hAnsi="BemboStd" w:cs="Times New Roman"/>
          <w:sz w:val="16"/>
          <w:szCs w:val="16"/>
        </w:rPr>
        <w:t xml:space="preserve"> 4(7). </w:t>
      </w:r>
    </w:p>
    <w:p w14:paraId="36E2D62C" w14:textId="77777777" w:rsidR="008B0677" w:rsidRPr="008B0677" w:rsidRDefault="008B0677" w:rsidP="008B0677">
      <w:pPr>
        <w:numPr>
          <w:ilvl w:val="1"/>
          <w:numId w:val="12"/>
        </w:numPr>
        <w:spacing w:before="100" w:beforeAutospacing="1" w:after="100" w:afterAutospacing="1"/>
        <w:rPr>
          <w:rFonts w:ascii="BemboStd" w:eastAsia="Times New Roman" w:hAnsi="BemboStd" w:cs="Times New Roman"/>
          <w:sz w:val="20"/>
          <w:szCs w:val="20"/>
        </w:rPr>
      </w:pPr>
      <w:proofErr w:type="gramStart"/>
      <w:r w:rsidRPr="008B0677">
        <w:rPr>
          <w:rFonts w:ascii="BemboStd" w:eastAsia="Times New Roman" w:hAnsi="BemboStd" w:cs="Times New Roman"/>
          <w:sz w:val="16"/>
          <w:szCs w:val="16"/>
        </w:rPr>
        <w:t>50  </w:t>
      </w:r>
      <w:r w:rsidRPr="008B0677">
        <w:rPr>
          <w:rFonts w:ascii="BemboStd" w:eastAsia="Times New Roman" w:hAnsi="BemboStd" w:cs="Times New Roman"/>
          <w:i/>
          <w:iCs/>
          <w:sz w:val="16"/>
          <w:szCs w:val="16"/>
        </w:rPr>
        <w:t>Maximillian</w:t>
      </w:r>
      <w:proofErr w:type="gramEnd"/>
      <w:r w:rsidRPr="008B0677">
        <w:rPr>
          <w:rFonts w:ascii="BemboStd" w:eastAsia="Times New Roman" w:hAnsi="BemboStd" w:cs="Times New Roman"/>
          <w:i/>
          <w:iCs/>
          <w:sz w:val="16"/>
          <w:szCs w:val="16"/>
        </w:rPr>
        <w:t xml:space="preserve"> </w:t>
      </w:r>
      <w:proofErr w:type="spellStart"/>
      <w:r w:rsidRPr="008B0677">
        <w:rPr>
          <w:rFonts w:ascii="BemboStd" w:eastAsia="Times New Roman" w:hAnsi="BemboStd" w:cs="Times New Roman"/>
          <w:i/>
          <w:iCs/>
          <w:sz w:val="16"/>
          <w:szCs w:val="16"/>
        </w:rPr>
        <w:t>Schrems</w:t>
      </w:r>
      <w:proofErr w:type="spellEnd"/>
      <w:r w:rsidRPr="008B0677">
        <w:rPr>
          <w:rFonts w:ascii="BemboStd" w:eastAsia="Times New Roman" w:hAnsi="BemboStd" w:cs="Times New Roman"/>
          <w:i/>
          <w:iCs/>
          <w:sz w:val="16"/>
          <w:szCs w:val="16"/>
        </w:rPr>
        <w:t xml:space="preserve"> v. Data Protection Commissioner</w:t>
      </w:r>
      <w:r w:rsidRPr="008B0677">
        <w:rPr>
          <w:rFonts w:ascii="BemboStd" w:eastAsia="Times New Roman" w:hAnsi="BemboStd" w:cs="Times New Roman"/>
          <w:sz w:val="16"/>
          <w:szCs w:val="16"/>
        </w:rPr>
        <w:t>, ECJ, 2015 (</w:t>
      </w:r>
      <w:proofErr w:type="spellStart"/>
      <w:r w:rsidRPr="008B0677">
        <w:rPr>
          <w:rFonts w:ascii="BemboStd" w:eastAsia="Times New Roman" w:hAnsi="BemboStd" w:cs="Times New Roman"/>
          <w:i/>
          <w:iCs/>
          <w:sz w:val="16"/>
          <w:szCs w:val="16"/>
        </w:rPr>
        <w:t>Schrems</w:t>
      </w:r>
      <w:proofErr w:type="spellEnd"/>
      <w:r w:rsidRPr="008B0677">
        <w:rPr>
          <w:rFonts w:ascii="BemboStd" w:eastAsia="Times New Roman" w:hAnsi="BemboStd" w:cs="Times New Roman"/>
          <w:i/>
          <w:iCs/>
          <w:sz w:val="16"/>
          <w:szCs w:val="16"/>
        </w:rPr>
        <w:t xml:space="preserve"> I </w:t>
      </w:r>
      <w:r w:rsidRPr="008B0677">
        <w:rPr>
          <w:rFonts w:ascii="BemboStd" w:eastAsia="Times New Roman" w:hAnsi="BemboStd" w:cs="Times New Roman"/>
          <w:sz w:val="16"/>
          <w:szCs w:val="16"/>
        </w:rPr>
        <w:t xml:space="preserve">). </w:t>
      </w:r>
    </w:p>
    <w:p w14:paraId="373F2AA7" w14:textId="77777777" w:rsidR="008B0677" w:rsidRPr="008B0677" w:rsidRDefault="008B0677" w:rsidP="008B0677">
      <w:pPr>
        <w:spacing w:before="100" w:beforeAutospacing="1" w:after="100" w:afterAutospacing="1"/>
        <w:ind w:left="1440"/>
        <w:rPr>
          <w:rFonts w:ascii="BemboStd" w:eastAsia="Times New Roman" w:hAnsi="BemboStd" w:cs="Times New Roman"/>
          <w:sz w:val="20"/>
          <w:szCs w:val="20"/>
        </w:rPr>
      </w:pPr>
      <w:r w:rsidRPr="008B0677">
        <w:rPr>
          <w:rFonts w:ascii="BemboStd" w:eastAsia="Times New Roman" w:hAnsi="BemboStd" w:cs="Times New Roman"/>
          <w:sz w:val="22"/>
          <w:szCs w:val="22"/>
        </w:rPr>
        <w:t xml:space="preserve">99 </w:t>
      </w:r>
    </w:p>
    <w:p w14:paraId="0D542C40" w14:textId="08E89F41"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"/var/folders/3y/yz0s3nns5879wt_b0sx_g3rr0000gn/T/com.microsoft.Word/WebArchiveCopyPasteTempFiles/page19image25395392"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032A56D4" wp14:editId="37DBDE36">
            <wp:extent cx="901700" cy="2743200"/>
            <wp:effectExtent l="0" t="0" r="0" b="0"/>
            <wp:docPr id="2" name="Picture 2" descr="page19image2539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19image2539539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7132561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331D64BB"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09AE3294"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considered overly intrusive US intelligence agencies, and accordingly for transfers between the European Union and the United States, or between Switzerland and the United States, other safeguards will need to be considered by a tribunal. </w:t>
      </w:r>
    </w:p>
    <w:p w14:paraId="7AD706AB"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lastRenderedPageBreak/>
        <w:t xml:space="preserve">The means of ensuring safeguards under the GDPR are set out in Articles 46 to 47 and are principally SCCs and binding corporate rules. Importantly, the exception identified in Article 49(1)(e) of the GDPR for a transfer ‘necessary for the establishment, exercise or </w:t>
      </w:r>
      <w:proofErr w:type="spellStart"/>
      <w:r w:rsidRPr="008B0677">
        <w:rPr>
          <w:rFonts w:ascii="BemboStd" w:eastAsia="Times New Roman" w:hAnsi="BemboStd" w:cs="Times New Roman"/>
          <w:sz w:val="20"/>
          <w:szCs w:val="20"/>
        </w:rPr>
        <w:t>defence</w:t>
      </w:r>
      <w:proofErr w:type="spellEnd"/>
      <w:r w:rsidRPr="008B0677">
        <w:rPr>
          <w:rFonts w:ascii="BemboStd" w:eastAsia="Times New Roman" w:hAnsi="BemboStd" w:cs="Times New Roman"/>
          <w:sz w:val="20"/>
          <w:szCs w:val="20"/>
        </w:rPr>
        <w:t xml:space="preserve"> of legal claims’, is likely to be insufficient to justify personal data transfers in an arbitration, at least in the first instance, as the European Data Protection Board has provided guidance that the exceptions in Article 49 should only be invoked if the appropriate safe- guards identified in Articles 46 to 47 are not available.</w:t>
      </w:r>
      <w:r w:rsidRPr="008B0677">
        <w:rPr>
          <w:rFonts w:ascii="BemboStd" w:eastAsia="Times New Roman" w:hAnsi="BemboStd" w:cs="Times New Roman"/>
          <w:position w:val="6"/>
          <w:sz w:val="12"/>
          <w:szCs w:val="12"/>
        </w:rPr>
        <w:t xml:space="preserve">51 </w:t>
      </w:r>
    </w:p>
    <w:p w14:paraId="2627C316"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The adoption of SCCs by the participants in an arbitration is relatively simple, and ensures compliance with the GDPR for transfers of data outside the European Union to a jurisdiction that does not provide adequate safeguards for the data, such as the United States (e.g., a tribunal seated in </w:t>
      </w:r>
      <w:proofErr w:type="spellStart"/>
      <w:r w:rsidRPr="008B0677">
        <w:rPr>
          <w:rFonts w:ascii="BemboStd" w:eastAsia="Times New Roman" w:hAnsi="BemboStd" w:cs="Times New Roman"/>
          <w:sz w:val="20"/>
          <w:szCs w:val="20"/>
        </w:rPr>
        <w:t>NewYork</w:t>
      </w:r>
      <w:proofErr w:type="spellEnd"/>
      <w:r w:rsidRPr="008B0677">
        <w:rPr>
          <w:rFonts w:ascii="BemboStd" w:eastAsia="Times New Roman" w:hAnsi="BemboStd" w:cs="Times New Roman"/>
          <w:sz w:val="20"/>
          <w:szCs w:val="20"/>
        </w:rPr>
        <w:t xml:space="preserve"> with European parties).</w:t>
      </w:r>
      <w:r w:rsidRPr="008B0677">
        <w:rPr>
          <w:rFonts w:ascii="BemboStd" w:eastAsia="Times New Roman" w:hAnsi="BemboStd" w:cs="Times New Roman"/>
          <w:position w:val="6"/>
          <w:sz w:val="12"/>
          <w:szCs w:val="12"/>
        </w:rPr>
        <w:t xml:space="preserve">52 </w:t>
      </w:r>
      <w:r w:rsidRPr="008B0677">
        <w:rPr>
          <w:rFonts w:ascii="BemboStd" w:eastAsia="Times New Roman" w:hAnsi="BemboStd" w:cs="Times New Roman"/>
          <w:sz w:val="20"/>
          <w:szCs w:val="20"/>
        </w:rPr>
        <w:t xml:space="preserve">SCCs may be put in place for data transfers from the foreign data controller (e.g., a party) to another data controller (e.g., US counsel) or a data processor (e.g., a US-based e-discovery vendor). It should be noted that SCCs are regularly used in US litigation to ensure compliance with the GDPR, and that many US courts in litigation are open to accommodating foreign data privacy con- </w:t>
      </w:r>
      <w:proofErr w:type="spellStart"/>
      <w:r w:rsidRPr="008B0677">
        <w:rPr>
          <w:rFonts w:ascii="BemboStd" w:eastAsia="Times New Roman" w:hAnsi="BemboStd" w:cs="Times New Roman"/>
          <w:sz w:val="20"/>
          <w:szCs w:val="20"/>
        </w:rPr>
        <w:t>cerns</w:t>
      </w:r>
      <w:proofErr w:type="spellEnd"/>
      <w:r w:rsidRPr="008B0677">
        <w:rPr>
          <w:rFonts w:ascii="BemboStd" w:eastAsia="Times New Roman" w:hAnsi="BemboStd" w:cs="Times New Roman"/>
          <w:sz w:val="20"/>
          <w:szCs w:val="20"/>
        </w:rPr>
        <w:t xml:space="preserve"> as recommended notably by the Sedona Conference,</w:t>
      </w:r>
      <w:r w:rsidRPr="008B0677">
        <w:rPr>
          <w:rFonts w:ascii="BemboStd" w:eastAsia="Times New Roman" w:hAnsi="BemboStd" w:cs="Times New Roman"/>
          <w:position w:val="6"/>
          <w:sz w:val="12"/>
          <w:szCs w:val="12"/>
        </w:rPr>
        <w:t xml:space="preserve">53 </w:t>
      </w:r>
      <w:r w:rsidRPr="008B0677">
        <w:rPr>
          <w:rFonts w:ascii="BemboStd" w:eastAsia="Times New Roman" w:hAnsi="BemboStd" w:cs="Times New Roman"/>
          <w:sz w:val="20"/>
          <w:szCs w:val="20"/>
        </w:rPr>
        <w:t>though certain courts have refused to accept the GDPR as an excuse for non-compliance with the ordered discovery.</w:t>
      </w:r>
      <w:r w:rsidRPr="008B0677">
        <w:rPr>
          <w:rFonts w:ascii="BemboStd" w:eastAsia="Times New Roman" w:hAnsi="BemboStd" w:cs="Times New Roman"/>
          <w:position w:val="6"/>
          <w:sz w:val="12"/>
          <w:szCs w:val="12"/>
        </w:rPr>
        <w:t xml:space="preserve">54 </w:t>
      </w:r>
    </w:p>
    <w:p w14:paraId="5E73EB4C" w14:textId="77777777" w:rsidR="008B0677" w:rsidRPr="008B0677" w:rsidRDefault="008B0677" w:rsidP="008B0677">
      <w:p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20"/>
          <w:szCs w:val="20"/>
        </w:rPr>
        <w:t>In light of</w:t>
      </w:r>
      <w:proofErr w:type="gramEnd"/>
      <w:r w:rsidRPr="008B0677">
        <w:rPr>
          <w:rFonts w:ascii="BemboStd" w:eastAsia="Times New Roman" w:hAnsi="BemboStd" w:cs="Times New Roman"/>
          <w:sz w:val="20"/>
          <w:szCs w:val="20"/>
        </w:rPr>
        <w:t xml:space="preserve"> the Privacy Shield being invalidated in 2020, increased use by parties and tribunals of SCCs is to be expected. However, the acceptance of this practice in any given arbitration by the tribunal and all the parties will need to be accepted at the start of the pro- </w:t>
      </w:r>
      <w:proofErr w:type="spellStart"/>
      <w:r w:rsidRPr="008B0677">
        <w:rPr>
          <w:rFonts w:ascii="BemboStd" w:eastAsia="Times New Roman" w:hAnsi="BemboStd" w:cs="Times New Roman"/>
          <w:sz w:val="20"/>
          <w:szCs w:val="20"/>
        </w:rPr>
        <w:t>ceedings</w:t>
      </w:r>
      <w:proofErr w:type="spellEnd"/>
      <w:r w:rsidRPr="008B0677">
        <w:rPr>
          <w:rFonts w:ascii="BemboStd" w:eastAsia="Times New Roman" w:hAnsi="BemboStd" w:cs="Times New Roman"/>
          <w:sz w:val="20"/>
          <w:szCs w:val="20"/>
        </w:rPr>
        <w:t xml:space="preserve">, and accordingly the tribunal must ensure at an early stage that the data protection issue is raised, that potential risks are identified and that appropriate safeguards are adopted. </w:t>
      </w:r>
    </w:p>
    <w:p w14:paraId="2016A751"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b/>
          <w:bCs/>
        </w:rPr>
        <w:t xml:space="preserve">Conclusion </w:t>
      </w:r>
    </w:p>
    <w:p w14:paraId="201D86B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The arbitration of IP disputes can be discovery-intensive, though paradoxically there is a dearth of guidance for practitioners on how to proceed in these </w:t>
      </w:r>
      <w:proofErr w:type="spellStart"/>
      <w:proofErr w:type="gramStart"/>
      <w:r w:rsidRPr="008B0677">
        <w:rPr>
          <w:rFonts w:ascii="BemboStd" w:eastAsia="Times New Roman" w:hAnsi="BemboStd" w:cs="Times New Roman"/>
          <w:sz w:val="20"/>
          <w:szCs w:val="20"/>
        </w:rPr>
        <w:t>cases.The</w:t>
      </w:r>
      <w:proofErr w:type="spellEnd"/>
      <w:proofErr w:type="gramEnd"/>
      <w:r w:rsidRPr="008B0677">
        <w:rPr>
          <w:rFonts w:ascii="BemboStd" w:eastAsia="Times New Roman" w:hAnsi="BemboStd" w:cs="Times New Roman"/>
          <w:sz w:val="20"/>
          <w:szCs w:val="20"/>
        </w:rPr>
        <w:t xml:space="preserve"> procedures adopted in arbitration for fact-finding will reflect the parties, their counsel, the tribunal composition and their combined legal cultures. However, there is no set of hard and fast rules, nor even concrete guidance that will provide an answer for every situation. </w:t>
      </w:r>
    </w:p>
    <w:p w14:paraId="27C54451" w14:textId="77777777" w:rsidR="008B0677" w:rsidRPr="008B0677" w:rsidRDefault="008B0677" w:rsidP="008B0677">
      <w:pPr>
        <w:numPr>
          <w:ilvl w:val="0"/>
          <w:numId w:val="1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51  See</w:t>
      </w:r>
      <w:proofErr w:type="gramEnd"/>
      <w:r w:rsidRPr="008B0677">
        <w:rPr>
          <w:rFonts w:ascii="BemboStd" w:eastAsia="Times New Roman" w:hAnsi="BemboStd" w:cs="Times New Roman"/>
          <w:sz w:val="16"/>
          <w:szCs w:val="16"/>
        </w:rPr>
        <w:t>, EDPB Guidelines 2/2018 on derogations of Article 49 under Regulation 2016/679, 25 May 2018, p. 11, https://edpb.europa.eu/our-work-tools/our-documents/directrices/guidelines-22018-derogations-article-49- under-</w:t>
      </w:r>
      <w:proofErr w:type="spellStart"/>
      <w:r w:rsidRPr="008B0677">
        <w:rPr>
          <w:rFonts w:ascii="BemboStd" w:eastAsia="Times New Roman" w:hAnsi="BemboStd" w:cs="Times New Roman"/>
          <w:sz w:val="16"/>
          <w:szCs w:val="16"/>
        </w:rPr>
        <w:t>regulation_en</w:t>
      </w:r>
      <w:proofErr w:type="spellEnd"/>
      <w:r w:rsidRPr="008B0677">
        <w:rPr>
          <w:rFonts w:ascii="BemboStd" w:eastAsia="Times New Roman" w:hAnsi="BemboStd" w:cs="Times New Roman"/>
          <w:sz w:val="16"/>
          <w:szCs w:val="16"/>
        </w:rPr>
        <w:t xml:space="preserve">. </w:t>
      </w:r>
    </w:p>
    <w:p w14:paraId="55DA8F3F" w14:textId="77777777" w:rsidR="008B0677" w:rsidRPr="008B0677" w:rsidRDefault="008B0677" w:rsidP="008B0677">
      <w:pPr>
        <w:numPr>
          <w:ilvl w:val="0"/>
          <w:numId w:val="1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52  The</w:t>
      </w:r>
      <w:proofErr w:type="gramEnd"/>
      <w:r w:rsidRPr="008B0677">
        <w:rPr>
          <w:rFonts w:ascii="BemboStd" w:eastAsia="Times New Roman" w:hAnsi="BemboStd" w:cs="Times New Roman"/>
          <w:sz w:val="16"/>
          <w:szCs w:val="16"/>
        </w:rPr>
        <w:t xml:space="preserve"> ECJ in </w:t>
      </w:r>
      <w:proofErr w:type="spellStart"/>
      <w:r w:rsidRPr="008B0677">
        <w:rPr>
          <w:rFonts w:ascii="BemboStd" w:eastAsia="Times New Roman" w:hAnsi="BemboStd" w:cs="Times New Roman"/>
          <w:i/>
          <w:iCs/>
          <w:sz w:val="16"/>
          <w:szCs w:val="16"/>
        </w:rPr>
        <w:t>Schrems</w:t>
      </w:r>
      <w:proofErr w:type="spellEnd"/>
      <w:r w:rsidRPr="008B0677">
        <w:rPr>
          <w:rFonts w:ascii="BemboStd" w:eastAsia="Times New Roman" w:hAnsi="BemboStd" w:cs="Times New Roman"/>
          <w:i/>
          <w:iCs/>
          <w:sz w:val="16"/>
          <w:szCs w:val="16"/>
        </w:rPr>
        <w:t xml:space="preserve"> II </w:t>
      </w:r>
      <w:r w:rsidRPr="008B0677">
        <w:rPr>
          <w:rFonts w:ascii="BemboStd" w:eastAsia="Times New Roman" w:hAnsi="BemboStd" w:cs="Times New Roman"/>
          <w:sz w:val="16"/>
          <w:szCs w:val="16"/>
        </w:rPr>
        <w:t xml:space="preserve">(16 July 2020) confirmed that SCCs remain a valid method to transfer personal data outside the European Union, but cautioned that additional safeguards – such as end-to-end encryption – would need to be identified in the SCCs to prevent US intelligence agencies from surveilling the data transfer. To date, only one data protection authority has recommended specific additions to the SCCs to account </w:t>
      </w:r>
    </w:p>
    <w:p w14:paraId="3CB64A17"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16"/>
          <w:szCs w:val="16"/>
        </w:rPr>
        <w:t>for the risk of foreign intelligence surveillance (</w:t>
      </w:r>
      <w:proofErr w:type="gramStart"/>
      <w:r w:rsidRPr="008B0677">
        <w:rPr>
          <w:rFonts w:ascii="BemboStd" w:eastAsia="Times New Roman" w:hAnsi="BemboStd" w:cs="Times New Roman"/>
          <w:sz w:val="16"/>
          <w:szCs w:val="16"/>
        </w:rPr>
        <w:t>see,‘</w:t>
      </w:r>
      <w:proofErr w:type="spellStart"/>
      <w:proofErr w:type="gramEnd"/>
      <w:r w:rsidRPr="008B0677">
        <w:rPr>
          <w:rFonts w:ascii="BemboStd" w:eastAsia="Times New Roman" w:hAnsi="BemboStd" w:cs="Times New Roman"/>
          <w:sz w:val="16"/>
          <w:szCs w:val="16"/>
        </w:rPr>
        <w:t>Orientierungshilfe</w:t>
      </w:r>
      <w:proofErr w:type="spellEnd"/>
      <w:r w:rsidRPr="008B0677">
        <w:rPr>
          <w:rFonts w:ascii="BemboStd" w:eastAsia="Times New Roman" w:hAnsi="BemboStd" w:cs="Times New Roman"/>
          <w:sz w:val="16"/>
          <w:szCs w:val="16"/>
        </w:rPr>
        <w:t xml:space="preserve"> des </w:t>
      </w:r>
      <w:proofErr w:type="spellStart"/>
      <w:r w:rsidRPr="008B0677">
        <w:rPr>
          <w:rFonts w:ascii="BemboStd" w:eastAsia="Times New Roman" w:hAnsi="BemboStd" w:cs="Times New Roman"/>
          <w:sz w:val="16"/>
          <w:szCs w:val="16"/>
        </w:rPr>
        <w:t>LfDI</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BW:Was</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jetzt</w:t>
      </w:r>
      <w:proofErr w:type="spellEnd"/>
      <w:r w:rsidRPr="008B0677">
        <w:rPr>
          <w:rFonts w:ascii="BemboStd" w:eastAsia="Times New Roman" w:hAnsi="BemboStd" w:cs="Times New Roman"/>
          <w:sz w:val="16"/>
          <w:szCs w:val="16"/>
        </w:rPr>
        <w:t xml:space="preserve"> in </w:t>
      </w:r>
      <w:proofErr w:type="spellStart"/>
      <w:r w:rsidRPr="008B0677">
        <w:rPr>
          <w:rFonts w:ascii="BemboStd" w:eastAsia="Times New Roman" w:hAnsi="BemboStd" w:cs="Times New Roman"/>
          <w:sz w:val="16"/>
          <w:szCs w:val="16"/>
        </w:rPr>
        <w:t>Sachen</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internationaler</w:t>
      </w:r>
      <w:proofErr w:type="spellEnd"/>
      <w:r w:rsidRPr="008B0677">
        <w:rPr>
          <w:rFonts w:ascii="BemboStd" w:eastAsia="Times New Roman" w:hAnsi="BemboStd" w:cs="Times New Roman"/>
          <w:sz w:val="16"/>
          <w:szCs w:val="16"/>
        </w:rPr>
        <w:t xml:space="preserve"> </w:t>
      </w:r>
      <w:proofErr w:type="spellStart"/>
      <w:r w:rsidRPr="008B0677">
        <w:rPr>
          <w:rFonts w:ascii="BemboStd" w:eastAsia="Times New Roman" w:hAnsi="BemboStd" w:cs="Times New Roman"/>
          <w:sz w:val="16"/>
          <w:szCs w:val="16"/>
        </w:rPr>
        <w:t>Datentransfer</w:t>
      </w:r>
      <w:proofErr w:type="spellEnd"/>
      <w:r w:rsidRPr="008B0677">
        <w:rPr>
          <w:rFonts w:ascii="BemboStd" w:eastAsia="Times New Roman" w:hAnsi="BemboStd" w:cs="Times New Roman"/>
          <w:sz w:val="16"/>
          <w:szCs w:val="16"/>
        </w:rPr>
        <w:t xml:space="preserve">?’, 7 September 2020, https://www.baden-wuerttemberg.datenschutz.de/ orientierungshilfe-des-lfdi-bw-was-jetzt-in-sachen-internationaler-datentransfer/). </w:t>
      </w:r>
    </w:p>
    <w:p w14:paraId="384524E7" w14:textId="77777777" w:rsidR="008B0677" w:rsidRPr="008B0677" w:rsidRDefault="008B0677" w:rsidP="008B0677">
      <w:pPr>
        <w:numPr>
          <w:ilvl w:val="0"/>
          <w:numId w:val="1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53  The</w:t>
      </w:r>
      <w:proofErr w:type="gramEnd"/>
      <w:r w:rsidRPr="008B0677">
        <w:rPr>
          <w:rFonts w:ascii="BemboStd" w:eastAsia="Times New Roman" w:hAnsi="BemboStd" w:cs="Times New Roman"/>
          <w:sz w:val="16"/>
          <w:szCs w:val="16"/>
        </w:rPr>
        <w:t xml:space="preserve"> Sedona Conference International Principles on Discovery, Disclosure &amp; Data Protection in Civil Litigation, January 2017, https://thesedonaconference.org/publication/International_Litigation_Principles. </w:t>
      </w:r>
    </w:p>
    <w:p w14:paraId="4FA595DF" w14:textId="77777777" w:rsidR="008B0677" w:rsidRPr="008B0677" w:rsidRDefault="008B0677" w:rsidP="008B0677">
      <w:pPr>
        <w:numPr>
          <w:ilvl w:val="0"/>
          <w:numId w:val="13"/>
        </w:numPr>
        <w:spacing w:before="100" w:beforeAutospacing="1" w:after="100" w:afterAutospacing="1"/>
        <w:rPr>
          <w:rFonts w:ascii="Times New Roman" w:eastAsia="Times New Roman" w:hAnsi="Times New Roman" w:cs="Times New Roman"/>
        </w:rPr>
      </w:pPr>
      <w:proofErr w:type="gramStart"/>
      <w:r w:rsidRPr="008B0677">
        <w:rPr>
          <w:rFonts w:ascii="BemboStd" w:eastAsia="Times New Roman" w:hAnsi="BemboStd" w:cs="Times New Roman"/>
          <w:sz w:val="16"/>
          <w:szCs w:val="16"/>
        </w:rPr>
        <w:t>54  See</w:t>
      </w:r>
      <w:proofErr w:type="gramEnd"/>
      <w:r w:rsidRPr="008B0677">
        <w:rPr>
          <w:rFonts w:ascii="BemboStd" w:eastAsia="Times New Roman" w:hAnsi="BemboStd" w:cs="Times New Roman"/>
          <w:sz w:val="16"/>
          <w:szCs w:val="16"/>
        </w:rPr>
        <w:t xml:space="preserve"> </w:t>
      </w:r>
      <w:r w:rsidRPr="008B0677">
        <w:rPr>
          <w:rFonts w:ascii="BemboStd" w:eastAsia="Times New Roman" w:hAnsi="BemboStd" w:cs="Times New Roman"/>
          <w:i/>
          <w:iCs/>
          <w:sz w:val="16"/>
          <w:szCs w:val="16"/>
        </w:rPr>
        <w:t xml:space="preserve">Finjan, Inc. v. </w:t>
      </w:r>
      <w:proofErr w:type="spellStart"/>
      <w:r w:rsidRPr="008B0677">
        <w:rPr>
          <w:rFonts w:ascii="BemboStd" w:eastAsia="Times New Roman" w:hAnsi="BemboStd" w:cs="Times New Roman"/>
          <w:i/>
          <w:iCs/>
          <w:sz w:val="16"/>
          <w:szCs w:val="16"/>
        </w:rPr>
        <w:t>Zscaler</w:t>
      </w:r>
      <w:proofErr w:type="spellEnd"/>
      <w:r w:rsidRPr="008B0677">
        <w:rPr>
          <w:rFonts w:ascii="BemboStd" w:eastAsia="Times New Roman" w:hAnsi="BemboStd" w:cs="Times New Roman"/>
          <w:i/>
          <w:iCs/>
          <w:sz w:val="16"/>
          <w:szCs w:val="16"/>
        </w:rPr>
        <w:t>, Inc.</w:t>
      </w:r>
      <w:r w:rsidRPr="008B0677">
        <w:rPr>
          <w:rFonts w:ascii="BemboStd" w:eastAsia="Times New Roman" w:hAnsi="BemboStd" w:cs="Times New Roman"/>
          <w:sz w:val="16"/>
          <w:szCs w:val="16"/>
        </w:rPr>
        <w:t xml:space="preserve">, 2019 WL 618554 (N.D. Cal. Feb. 14, 2019). </w:t>
      </w:r>
    </w:p>
    <w:p w14:paraId="1E7371B1" w14:textId="77777777" w:rsidR="008B0677" w:rsidRPr="008B0677" w:rsidRDefault="008B0677" w:rsidP="008B0677">
      <w:pPr>
        <w:spacing w:before="100" w:beforeAutospacing="1" w:after="100" w:afterAutospacing="1"/>
        <w:ind w:left="720"/>
        <w:rPr>
          <w:rFonts w:ascii="Times New Roman" w:eastAsia="Times New Roman" w:hAnsi="Times New Roman" w:cs="Times New Roman"/>
        </w:rPr>
      </w:pPr>
      <w:r w:rsidRPr="008B0677">
        <w:rPr>
          <w:rFonts w:ascii="BemboStd" w:eastAsia="Times New Roman" w:hAnsi="BemboStd" w:cs="Times New Roman"/>
          <w:sz w:val="22"/>
          <w:szCs w:val="22"/>
        </w:rPr>
        <w:t xml:space="preserve">100 </w:t>
      </w:r>
    </w:p>
    <w:p w14:paraId="4DDD596F" w14:textId="0076BEBE" w:rsidR="008B0677" w:rsidRPr="008B0677" w:rsidRDefault="008B0677" w:rsidP="008B0677">
      <w:pPr>
        <w:rPr>
          <w:rFonts w:ascii="Times New Roman" w:eastAsia="Times New Roman" w:hAnsi="Times New Roman" w:cs="Times New Roman"/>
        </w:rPr>
      </w:pPr>
      <w:r w:rsidRPr="008B0677">
        <w:rPr>
          <w:rFonts w:ascii="Times New Roman" w:eastAsia="Times New Roman" w:hAnsi="Times New Roman" w:cs="Times New Roman"/>
        </w:rPr>
        <w:lastRenderedPageBreak/>
        <w:fldChar w:fldCharType="begin"/>
      </w:r>
      <w:r w:rsidRPr="008B0677">
        <w:rPr>
          <w:rFonts w:ascii="Times New Roman" w:eastAsia="Times New Roman" w:hAnsi="Times New Roman" w:cs="Times New Roman"/>
        </w:rPr>
        <w:instrText xml:space="preserve"> INCLUDEPICTURE "/var/folders/3y/yz0s3nns5879wt_b0sx_g3rr0000gn/T/com.microsoft.Word/WebArchiveCopyPasteTempFiles/page20image25298432" \* MERGEFORMATINET </w:instrText>
      </w:r>
      <w:r w:rsidRPr="008B0677">
        <w:rPr>
          <w:rFonts w:ascii="Times New Roman" w:eastAsia="Times New Roman" w:hAnsi="Times New Roman" w:cs="Times New Roman"/>
        </w:rPr>
        <w:fldChar w:fldCharType="separate"/>
      </w:r>
      <w:r w:rsidRPr="008B0677">
        <w:rPr>
          <w:rFonts w:ascii="Times New Roman" w:eastAsia="Times New Roman" w:hAnsi="Times New Roman" w:cs="Times New Roman"/>
          <w:noProof/>
        </w:rPr>
        <w:drawing>
          <wp:inline distT="0" distB="0" distL="0" distR="0" wp14:anchorId="0A51C747" wp14:editId="4AAD9695">
            <wp:extent cx="901700" cy="2743200"/>
            <wp:effectExtent l="0" t="0" r="0" b="0"/>
            <wp:docPr id="1" name="Picture 1" descr="page20image25298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age20image2529843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2743200"/>
                    </a:xfrm>
                    <a:prstGeom prst="rect">
                      <a:avLst/>
                    </a:prstGeom>
                    <a:noFill/>
                    <a:ln>
                      <a:noFill/>
                    </a:ln>
                  </pic:spPr>
                </pic:pic>
              </a:graphicData>
            </a:graphic>
          </wp:inline>
        </w:drawing>
      </w:r>
      <w:r w:rsidRPr="008B0677">
        <w:rPr>
          <w:rFonts w:ascii="Times New Roman" w:eastAsia="Times New Roman" w:hAnsi="Times New Roman" w:cs="Times New Roman"/>
        </w:rPr>
        <w:fldChar w:fldCharType="end"/>
      </w:r>
    </w:p>
    <w:p w14:paraId="3FBCD1C3"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16"/>
          <w:szCs w:val="16"/>
        </w:rPr>
        <w:t xml:space="preserve">© Law Business Research 2021 </w:t>
      </w:r>
    </w:p>
    <w:p w14:paraId="49C808E5"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i/>
          <w:iCs/>
          <w:sz w:val="18"/>
          <w:szCs w:val="18"/>
        </w:rPr>
        <w:t xml:space="preserve">Disclosure Issues in International IP Arbitration </w:t>
      </w:r>
    </w:p>
    <w:p w14:paraId="1A0A17FA" w14:textId="77777777" w:rsidR="008B0677" w:rsidRPr="008B0677" w:rsidRDefault="008B0677" w:rsidP="008B0677">
      <w:pPr>
        <w:spacing w:before="100" w:beforeAutospacing="1" w:after="100" w:afterAutospacing="1"/>
        <w:rPr>
          <w:rFonts w:ascii="Times New Roman" w:eastAsia="Times New Roman" w:hAnsi="Times New Roman" w:cs="Times New Roman"/>
        </w:rPr>
      </w:pPr>
      <w:r w:rsidRPr="008B0677">
        <w:rPr>
          <w:rFonts w:ascii="BemboStd" w:eastAsia="Times New Roman" w:hAnsi="BemboStd" w:cs="Times New Roman"/>
          <w:sz w:val="20"/>
          <w:szCs w:val="20"/>
        </w:rPr>
        <w:t xml:space="preserve">Arbitration participants should expect, however, that the guidance and precedents that do exist will inform the fact-finding process that will be adopted by the tribunal, with a view to being both efficient and </w:t>
      </w:r>
      <w:proofErr w:type="spellStart"/>
      <w:proofErr w:type="gramStart"/>
      <w:r w:rsidRPr="008B0677">
        <w:rPr>
          <w:rFonts w:ascii="BemboStd" w:eastAsia="Times New Roman" w:hAnsi="BemboStd" w:cs="Times New Roman"/>
          <w:sz w:val="20"/>
          <w:szCs w:val="20"/>
        </w:rPr>
        <w:t>fair.The</w:t>
      </w:r>
      <w:proofErr w:type="spellEnd"/>
      <w:proofErr w:type="gramEnd"/>
      <w:r w:rsidRPr="008B0677">
        <w:rPr>
          <w:rFonts w:ascii="BemboStd" w:eastAsia="Times New Roman" w:hAnsi="BemboStd" w:cs="Times New Roman"/>
          <w:sz w:val="20"/>
          <w:szCs w:val="20"/>
        </w:rPr>
        <w:t xml:space="preserve"> objective early in the arbitration should be to discuss fully with the parties the tribunal’s plan for the fact-finding process and to tailor the rules to their particular matter to manage with transparency any risk and uncertainty that may be identified. Obtaining parties’ consent to the arbitration procedure in general, and to the fact-finding </w:t>
      </w:r>
      <w:proofErr w:type="gramStart"/>
      <w:r w:rsidRPr="008B0677">
        <w:rPr>
          <w:rFonts w:ascii="BemboStd" w:eastAsia="Times New Roman" w:hAnsi="BemboStd" w:cs="Times New Roman"/>
          <w:sz w:val="20"/>
          <w:szCs w:val="20"/>
        </w:rPr>
        <w:t>process in particular, will</w:t>
      </w:r>
      <w:proofErr w:type="gramEnd"/>
      <w:r w:rsidRPr="008B0677">
        <w:rPr>
          <w:rFonts w:ascii="BemboStd" w:eastAsia="Times New Roman" w:hAnsi="BemboStd" w:cs="Times New Roman"/>
          <w:sz w:val="20"/>
          <w:szCs w:val="20"/>
        </w:rPr>
        <w:t xml:space="preserve"> go far in avoiding later disputes and </w:t>
      </w:r>
      <w:proofErr w:type="spellStart"/>
      <w:r w:rsidRPr="008B0677">
        <w:rPr>
          <w:rFonts w:ascii="BemboStd" w:eastAsia="Times New Roman" w:hAnsi="BemboStd" w:cs="Times New Roman"/>
          <w:sz w:val="20"/>
          <w:szCs w:val="20"/>
        </w:rPr>
        <w:t>immunising</w:t>
      </w:r>
      <w:proofErr w:type="spellEnd"/>
      <w:r w:rsidRPr="008B0677">
        <w:rPr>
          <w:rFonts w:ascii="BemboStd" w:eastAsia="Times New Roman" w:hAnsi="BemboStd" w:cs="Times New Roman"/>
          <w:sz w:val="20"/>
          <w:szCs w:val="20"/>
        </w:rPr>
        <w:t xml:space="preserve"> the award against annulment. But while the parties and arbitral institutions have important roles to play, this mission is one for which the tribunal must take primary responsibility. </w:t>
      </w:r>
    </w:p>
    <w:p w14:paraId="0537A606" w14:textId="42E8F990" w:rsidR="008B0677" w:rsidRDefault="008B0677"/>
    <w:p w14:paraId="7EBAEACA" w14:textId="63CE53A6" w:rsidR="008B0677" w:rsidRDefault="008B0677"/>
    <w:p w14:paraId="7D6BE257" w14:textId="77777777" w:rsidR="008B0677" w:rsidRDefault="008B0677"/>
    <w:sectPr w:rsidR="008B0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emboStd">
    <w:altName w:val="Cambria"/>
    <w:panose1 w:val="020B0604020202020204"/>
    <w:charset w:val="00"/>
    <w:family w:val="roman"/>
    <w:notTrueType/>
    <w:pitch w:val="default"/>
  </w:font>
  <w:font w:name="CenturyGothic">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12A3"/>
    <w:multiLevelType w:val="multilevel"/>
    <w:tmpl w:val="7ACEA3D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D3CBC"/>
    <w:multiLevelType w:val="multilevel"/>
    <w:tmpl w:val="87400E0A"/>
    <w:lvl w:ilvl="0">
      <w:start w:val="1"/>
      <w:numFmt w:val="bullet"/>
      <w:lvlText w:val=""/>
      <w:lvlJc w:val="left"/>
      <w:pPr>
        <w:tabs>
          <w:tab w:val="num" w:pos="720"/>
        </w:tabs>
        <w:ind w:left="720" w:hanging="360"/>
      </w:pPr>
      <w:rPr>
        <w:rFonts w:ascii="Symbol" w:hAnsi="Symbol" w:hint="default"/>
        <w:sz w:val="20"/>
      </w:rPr>
    </w:lvl>
    <w:lvl w:ilvl="1">
      <w:start w:val="33"/>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0E5F70"/>
    <w:multiLevelType w:val="multilevel"/>
    <w:tmpl w:val="0DAA889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635F4A"/>
    <w:multiLevelType w:val="multilevel"/>
    <w:tmpl w:val="A3B03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7762B6"/>
    <w:multiLevelType w:val="multilevel"/>
    <w:tmpl w:val="596A8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1716FE"/>
    <w:multiLevelType w:val="multilevel"/>
    <w:tmpl w:val="9CB8EA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F24C6F"/>
    <w:multiLevelType w:val="multilevel"/>
    <w:tmpl w:val="17E03704"/>
    <w:lvl w:ilvl="0">
      <w:start w:val="1"/>
      <w:numFmt w:val="bullet"/>
      <w:lvlText w:val=""/>
      <w:lvlJc w:val="left"/>
      <w:pPr>
        <w:tabs>
          <w:tab w:val="num" w:pos="720"/>
        </w:tabs>
        <w:ind w:left="720" w:hanging="360"/>
      </w:pPr>
      <w:rPr>
        <w:rFonts w:ascii="Symbol" w:hAnsi="Symbol" w:hint="default"/>
        <w:sz w:val="20"/>
      </w:rPr>
    </w:lvl>
    <w:lvl w:ilvl="1">
      <w:start w:val="2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641297"/>
    <w:multiLevelType w:val="multilevel"/>
    <w:tmpl w:val="DF3A2EA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A97D8B"/>
    <w:multiLevelType w:val="multilevel"/>
    <w:tmpl w:val="1A54808A"/>
    <w:lvl w:ilvl="0">
      <w:start w:val="1"/>
      <w:numFmt w:val="bullet"/>
      <w:lvlText w:val=""/>
      <w:lvlJc w:val="left"/>
      <w:pPr>
        <w:tabs>
          <w:tab w:val="num" w:pos="720"/>
        </w:tabs>
        <w:ind w:left="720" w:hanging="360"/>
      </w:pPr>
      <w:rPr>
        <w:rFonts w:ascii="Symbol" w:hAnsi="Symbol" w:hint="default"/>
        <w:sz w:val="20"/>
      </w:rPr>
    </w:lvl>
    <w:lvl w:ilvl="1">
      <w:start w:val="49"/>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9138DF"/>
    <w:multiLevelType w:val="multilevel"/>
    <w:tmpl w:val="005C2B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F337B0"/>
    <w:multiLevelType w:val="multilevel"/>
    <w:tmpl w:val="3672450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E95287"/>
    <w:multiLevelType w:val="multilevel"/>
    <w:tmpl w:val="A67C8EA6"/>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24702C"/>
    <w:multiLevelType w:val="multilevel"/>
    <w:tmpl w:val="2E94351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9"/>
  </w:num>
  <w:num w:numId="4">
    <w:abstractNumId w:val="10"/>
  </w:num>
  <w:num w:numId="5">
    <w:abstractNumId w:val="6"/>
  </w:num>
  <w:num w:numId="6">
    <w:abstractNumId w:val="7"/>
  </w:num>
  <w:num w:numId="7">
    <w:abstractNumId w:val="2"/>
  </w:num>
  <w:num w:numId="8">
    <w:abstractNumId w:val="3"/>
  </w:num>
  <w:num w:numId="9">
    <w:abstractNumId w:val="1"/>
  </w:num>
  <w:num w:numId="10">
    <w:abstractNumId w:val="12"/>
  </w:num>
  <w:num w:numId="11">
    <w:abstractNumId w:val="0"/>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677"/>
    <w:rsid w:val="002C6728"/>
    <w:rsid w:val="00865C92"/>
    <w:rsid w:val="008B0677"/>
    <w:rsid w:val="00C20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B2A863"/>
  <w15:chartTrackingRefBased/>
  <w15:docId w15:val="{2038670D-ADD0-BF4F-BFE5-71788998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0677"/>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rsid w:val="008B0677"/>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7670">
      <w:bodyDiv w:val="1"/>
      <w:marLeft w:val="0"/>
      <w:marRight w:val="0"/>
      <w:marTop w:val="0"/>
      <w:marBottom w:val="0"/>
      <w:divBdr>
        <w:top w:val="none" w:sz="0" w:space="0" w:color="auto"/>
        <w:left w:val="none" w:sz="0" w:space="0" w:color="auto"/>
        <w:bottom w:val="none" w:sz="0" w:space="0" w:color="auto"/>
        <w:right w:val="none" w:sz="0" w:space="0" w:color="auto"/>
      </w:divBdr>
      <w:divsChild>
        <w:div w:id="904493919">
          <w:marLeft w:val="0"/>
          <w:marRight w:val="0"/>
          <w:marTop w:val="0"/>
          <w:marBottom w:val="0"/>
          <w:divBdr>
            <w:top w:val="none" w:sz="0" w:space="0" w:color="auto"/>
            <w:left w:val="none" w:sz="0" w:space="0" w:color="auto"/>
            <w:bottom w:val="none" w:sz="0" w:space="0" w:color="auto"/>
            <w:right w:val="none" w:sz="0" w:space="0" w:color="auto"/>
          </w:divBdr>
          <w:divsChild>
            <w:div w:id="313293184">
              <w:marLeft w:val="0"/>
              <w:marRight w:val="0"/>
              <w:marTop w:val="0"/>
              <w:marBottom w:val="0"/>
              <w:divBdr>
                <w:top w:val="none" w:sz="0" w:space="0" w:color="auto"/>
                <w:left w:val="none" w:sz="0" w:space="0" w:color="auto"/>
                <w:bottom w:val="none" w:sz="0" w:space="0" w:color="auto"/>
                <w:right w:val="none" w:sz="0" w:space="0" w:color="auto"/>
              </w:divBdr>
              <w:divsChild>
                <w:div w:id="797643184">
                  <w:marLeft w:val="0"/>
                  <w:marRight w:val="0"/>
                  <w:marTop w:val="0"/>
                  <w:marBottom w:val="0"/>
                  <w:divBdr>
                    <w:top w:val="none" w:sz="0" w:space="0" w:color="auto"/>
                    <w:left w:val="none" w:sz="0" w:space="0" w:color="auto"/>
                    <w:bottom w:val="none" w:sz="0" w:space="0" w:color="auto"/>
                    <w:right w:val="none" w:sz="0" w:space="0" w:color="auto"/>
                  </w:divBdr>
                </w:div>
              </w:divsChild>
            </w:div>
            <w:div w:id="2117095614">
              <w:marLeft w:val="0"/>
              <w:marRight w:val="0"/>
              <w:marTop w:val="0"/>
              <w:marBottom w:val="0"/>
              <w:divBdr>
                <w:top w:val="none" w:sz="0" w:space="0" w:color="auto"/>
                <w:left w:val="none" w:sz="0" w:space="0" w:color="auto"/>
                <w:bottom w:val="none" w:sz="0" w:space="0" w:color="auto"/>
                <w:right w:val="none" w:sz="0" w:space="0" w:color="auto"/>
              </w:divBdr>
              <w:divsChild>
                <w:div w:id="112400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331854">
          <w:marLeft w:val="0"/>
          <w:marRight w:val="0"/>
          <w:marTop w:val="0"/>
          <w:marBottom w:val="0"/>
          <w:divBdr>
            <w:top w:val="none" w:sz="0" w:space="0" w:color="auto"/>
            <w:left w:val="none" w:sz="0" w:space="0" w:color="auto"/>
            <w:bottom w:val="none" w:sz="0" w:space="0" w:color="auto"/>
            <w:right w:val="none" w:sz="0" w:space="0" w:color="auto"/>
          </w:divBdr>
          <w:divsChild>
            <w:div w:id="1829587888">
              <w:marLeft w:val="0"/>
              <w:marRight w:val="0"/>
              <w:marTop w:val="0"/>
              <w:marBottom w:val="0"/>
              <w:divBdr>
                <w:top w:val="none" w:sz="0" w:space="0" w:color="auto"/>
                <w:left w:val="none" w:sz="0" w:space="0" w:color="auto"/>
                <w:bottom w:val="none" w:sz="0" w:space="0" w:color="auto"/>
                <w:right w:val="none" w:sz="0" w:space="0" w:color="auto"/>
              </w:divBdr>
              <w:divsChild>
                <w:div w:id="495146320">
                  <w:marLeft w:val="0"/>
                  <w:marRight w:val="0"/>
                  <w:marTop w:val="0"/>
                  <w:marBottom w:val="0"/>
                  <w:divBdr>
                    <w:top w:val="none" w:sz="0" w:space="0" w:color="auto"/>
                    <w:left w:val="none" w:sz="0" w:space="0" w:color="auto"/>
                    <w:bottom w:val="none" w:sz="0" w:space="0" w:color="auto"/>
                    <w:right w:val="none" w:sz="0" w:space="0" w:color="auto"/>
                  </w:divBdr>
                </w:div>
              </w:divsChild>
            </w:div>
            <w:div w:id="1675648245">
              <w:marLeft w:val="0"/>
              <w:marRight w:val="0"/>
              <w:marTop w:val="0"/>
              <w:marBottom w:val="0"/>
              <w:divBdr>
                <w:top w:val="none" w:sz="0" w:space="0" w:color="auto"/>
                <w:left w:val="none" w:sz="0" w:space="0" w:color="auto"/>
                <w:bottom w:val="none" w:sz="0" w:space="0" w:color="auto"/>
                <w:right w:val="none" w:sz="0" w:space="0" w:color="auto"/>
              </w:divBdr>
              <w:divsChild>
                <w:div w:id="595094368">
                  <w:marLeft w:val="0"/>
                  <w:marRight w:val="0"/>
                  <w:marTop w:val="0"/>
                  <w:marBottom w:val="0"/>
                  <w:divBdr>
                    <w:top w:val="none" w:sz="0" w:space="0" w:color="auto"/>
                    <w:left w:val="none" w:sz="0" w:space="0" w:color="auto"/>
                    <w:bottom w:val="none" w:sz="0" w:space="0" w:color="auto"/>
                    <w:right w:val="none" w:sz="0" w:space="0" w:color="auto"/>
                  </w:divBdr>
                </w:div>
              </w:divsChild>
            </w:div>
            <w:div w:id="1606117079">
              <w:marLeft w:val="0"/>
              <w:marRight w:val="0"/>
              <w:marTop w:val="0"/>
              <w:marBottom w:val="0"/>
              <w:divBdr>
                <w:top w:val="none" w:sz="0" w:space="0" w:color="auto"/>
                <w:left w:val="none" w:sz="0" w:space="0" w:color="auto"/>
                <w:bottom w:val="none" w:sz="0" w:space="0" w:color="auto"/>
                <w:right w:val="none" w:sz="0" w:space="0" w:color="auto"/>
              </w:divBdr>
              <w:divsChild>
                <w:div w:id="94700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77577">
          <w:marLeft w:val="0"/>
          <w:marRight w:val="0"/>
          <w:marTop w:val="0"/>
          <w:marBottom w:val="0"/>
          <w:divBdr>
            <w:top w:val="none" w:sz="0" w:space="0" w:color="auto"/>
            <w:left w:val="none" w:sz="0" w:space="0" w:color="auto"/>
            <w:bottom w:val="none" w:sz="0" w:space="0" w:color="auto"/>
            <w:right w:val="none" w:sz="0" w:space="0" w:color="auto"/>
          </w:divBdr>
          <w:divsChild>
            <w:div w:id="2098280254">
              <w:marLeft w:val="0"/>
              <w:marRight w:val="0"/>
              <w:marTop w:val="0"/>
              <w:marBottom w:val="0"/>
              <w:divBdr>
                <w:top w:val="none" w:sz="0" w:space="0" w:color="auto"/>
                <w:left w:val="none" w:sz="0" w:space="0" w:color="auto"/>
                <w:bottom w:val="none" w:sz="0" w:space="0" w:color="auto"/>
                <w:right w:val="none" w:sz="0" w:space="0" w:color="auto"/>
              </w:divBdr>
              <w:divsChild>
                <w:div w:id="955066134">
                  <w:marLeft w:val="0"/>
                  <w:marRight w:val="0"/>
                  <w:marTop w:val="0"/>
                  <w:marBottom w:val="0"/>
                  <w:divBdr>
                    <w:top w:val="none" w:sz="0" w:space="0" w:color="auto"/>
                    <w:left w:val="none" w:sz="0" w:space="0" w:color="auto"/>
                    <w:bottom w:val="none" w:sz="0" w:space="0" w:color="auto"/>
                    <w:right w:val="none" w:sz="0" w:space="0" w:color="auto"/>
                  </w:divBdr>
                </w:div>
              </w:divsChild>
            </w:div>
            <w:div w:id="1668899567">
              <w:marLeft w:val="0"/>
              <w:marRight w:val="0"/>
              <w:marTop w:val="0"/>
              <w:marBottom w:val="0"/>
              <w:divBdr>
                <w:top w:val="none" w:sz="0" w:space="0" w:color="auto"/>
                <w:left w:val="none" w:sz="0" w:space="0" w:color="auto"/>
                <w:bottom w:val="none" w:sz="0" w:space="0" w:color="auto"/>
                <w:right w:val="none" w:sz="0" w:space="0" w:color="auto"/>
              </w:divBdr>
              <w:divsChild>
                <w:div w:id="729839260">
                  <w:marLeft w:val="0"/>
                  <w:marRight w:val="0"/>
                  <w:marTop w:val="0"/>
                  <w:marBottom w:val="0"/>
                  <w:divBdr>
                    <w:top w:val="none" w:sz="0" w:space="0" w:color="auto"/>
                    <w:left w:val="none" w:sz="0" w:space="0" w:color="auto"/>
                    <w:bottom w:val="none" w:sz="0" w:space="0" w:color="auto"/>
                    <w:right w:val="none" w:sz="0" w:space="0" w:color="auto"/>
                  </w:divBdr>
                </w:div>
              </w:divsChild>
            </w:div>
            <w:div w:id="2045279728">
              <w:marLeft w:val="0"/>
              <w:marRight w:val="0"/>
              <w:marTop w:val="0"/>
              <w:marBottom w:val="0"/>
              <w:divBdr>
                <w:top w:val="none" w:sz="0" w:space="0" w:color="auto"/>
                <w:left w:val="none" w:sz="0" w:space="0" w:color="auto"/>
                <w:bottom w:val="none" w:sz="0" w:space="0" w:color="auto"/>
                <w:right w:val="none" w:sz="0" w:space="0" w:color="auto"/>
              </w:divBdr>
              <w:divsChild>
                <w:div w:id="12616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78102">
          <w:marLeft w:val="0"/>
          <w:marRight w:val="0"/>
          <w:marTop w:val="0"/>
          <w:marBottom w:val="0"/>
          <w:divBdr>
            <w:top w:val="none" w:sz="0" w:space="0" w:color="auto"/>
            <w:left w:val="none" w:sz="0" w:space="0" w:color="auto"/>
            <w:bottom w:val="none" w:sz="0" w:space="0" w:color="auto"/>
            <w:right w:val="none" w:sz="0" w:space="0" w:color="auto"/>
          </w:divBdr>
          <w:divsChild>
            <w:div w:id="949817040">
              <w:marLeft w:val="0"/>
              <w:marRight w:val="0"/>
              <w:marTop w:val="0"/>
              <w:marBottom w:val="0"/>
              <w:divBdr>
                <w:top w:val="none" w:sz="0" w:space="0" w:color="auto"/>
                <w:left w:val="none" w:sz="0" w:space="0" w:color="auto"/>
                <w:bottom w:val="none" w:sz="0" w:space="0" w:color="auto"/>
                <w:right w:val="none" w:sz="0" w:space="0" w:color="auto"/>
              </w:divBdr>
              <w:divsChild>
                <w:div w:id="175392557">
                  <w:marLeft w:val="0"/>
                  <w:marRight w:val="0"/>
                  <w:marTop w:val="0"/>
                  <w:marBottom w:val="0"/>
                  <w:divBdr>
                    <w:top w:val="none" w:sz="0" w:space="0" w:color="auto"/>
                    <w:left w:val="none" w:sz="0" w:space="0" w:color="auto"/>
                    <w:bottom w:val="none" w:sz="0" w:space="0" w:color="auto"/>
                    <w:right w:val="none" w:sz="0" w:space="0" w:color="auto"/>
                  </w:divBdr>
                </w:div>
              </w:divsChild>
            </w:div>
            <w:div w:id="1982348885">
              <w:marLeft w:val="0"/>
              <w:marRight w:val="0"/>
              <w:marTop w:val="0"/>
              <w:marBottom w:val="0"/>
              <w:divBdr>
                <w:top w:val="none" w:sz="0" w:space="0" w:color="auto"/>
                <w:left w:val="none" w:sz="0" w:space="0" w:color="auto"/>
                <w:bottom w:val="none" w:sz="0" w:space="0" w:color="auto"/>
                <w:right w:val="none" w:sz="0" w:space="0" w:color="auto"/>
              </w:divBdr>
              <w:divsChild>
                <w:div w:id="1315597479">
                  <w:marLeft w:val="0"/>
                  <w:marRight w:val="0"/>
                  <w:marTop w:val="0"/>
                  <w:marBottom w:val="0"/>
                  <w:divBdr>
                    <w:top w:val="none" w:sz="0" w:space="0" w:color="auto"/>
                    <w:left w:val="none" w:sz="0" w:space="0" w:color="auto"/>
                    <w:bottom w:val="none" w:sz="0" w:space="0" w:color="auto"/>
                    <w:right w:val="none" w:sz="0" w:space="0" w:color="auto"/>
                  </w:divBdr>
                </w:div>
              </w:divsChild>
            </w:div>
            <w:div w:id="1404449449">
              <w:marLeft w:val="0"/>
              <w:marRight w:val="0"/>
              <w:marTop w:val="0"/>
              <w:marBottom w:val="0"/>
              <w:divBdr>
                <w:top w:val="none" w:sz="0" w:space="0" w:color="auto"/>
                <w:left w:val="none" w:sz="0" w:space="0" w:color="auto"/>
                <w:bottom w:val="none" w:sz="0" w:space="0" w:color="auto"/>
                <w:right w:val="none" w:sz="0" w:space="0" w:color="auto"/>
              </w:divBdr>
              <w:divsChild>
                <w:div w:id="148146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92108">
          <w:marLeft w:val="0"/>
          <w:marRight w:val="0"/>
          <w:marTop w:val="0"/>
          <w:marBottom w:val="0"/>
          <w:divBdr>
            <w:top w:val="none" w:sz="0" w:space="0" w:color="auto"/>
            <w:left w:val="none" w:sz="0" w:space="0" w:color="auto"/>
            <w:bottom w:val="none" w:sz="0" w:space="0" w:color="auto"/>
            <w:right w:val="none" w:sz="0" w:space="0" w:color="auto"/>
          </w:divBdr>
          <w:divsChild>
            <w:div w:id="1707294275">
              <w:marLeft w:val="0"/>
              <w:marRight w:val="0"/>
              <w:marTop w:val="0"/>
              <w:marBottom w:val="0"/>
              <w:divBdr>
                <w:top w:val="none" w:sz="0" w:space="0" w:color="auto"/>
                <w:left w:val="none" w:sz="0" w:space="0" w:color="auto"/>
                <w:bottom w:val="none" w:sz="0" w:space="0" w:color="auto"/>
                <w:right w:val="none" w:sz="0" w:space="0" w:color="auto"/>
              </w:divBdr>
              <w:divsChild>
                <w:div w:id="1608077427">
                  <w:marLeft w:val="0"/>
                  <w:marRight w:val="0"/>
                  <w:marTop w:val="0"/>
                  <w:marBottom w:val="0"/>
                  <w:divBdr>
                    <w:top w:val="none" w:sz="0" w:space="0" w:color="auto"/>
                    <w:left w:val="none" w:sz="0" w:space="0" w:color="auto"/>
                    <w:bottom w:val="none" w:sz="0" w:space="0" w:color="auto"/>
                    <w:right w:val="none" w:sz="0" w:space="0" w:color="auto"/>
                  </w:divBdr>
                </w:div>
              </w:divsChild>
            </w:div>
            <w:div w:id="364520850">
              <w:marLeft w:val="0"/>
              <w:marRight w:val="0"/>
              <w:marTop w:val="0"/>
              <w:marBottom w:val="0"/>
              <w:divBdr>
                <w:top w:val="none" w:sz="0" w:space="0" w:color="auto"/>
                <w:left w:val="none" w:sz="0" w:space="0" w:color="auto"/>
                <w:bottom w:val="none" w:sz="0" w:space="0" w:color="auto"/>
                <w:right w:val="none" w:sz="0" w:space="0" w:color="auto"/>
              </w:divBdr>
              <w:divsChild>
                <w:div w:id="2015961021">
                  <w:marLeft w:val="0"/>
                  <w:marRight w:val="0"/>
                  <w:marTop w:val="0"/>
                  <w:marBottom w:val="0"/>
                  <w:divBdr>
                    <w:top w:val="none" w:sz="0" w:space="0" w:color="auto"/>
                    <w:left w:val="none" w:sz="0" w:space="0" w:color="auto"/>
                    <w:bottom w:val="none" w:sz="0" w:space="0" w:color="auto"/>
                    <w:right w:val="none" w:sz="0" w:space="0" w:color="auto"/>
                  </w:divBdr>
                </w:div>
              </w:divsChild>
            </w:div>
            <w:div w:id="1279415955">
              <w:marLeft w:val="0"/>
              <w:marRight w:val="0"/>
              <w:marTop w:val="0"/>
              <w:marBottom w:val="0"/>
              <w:divBdr>
                <w:top w:val="none" w:sz="0" w:space="0" w:color="auto"/>
                <w:left w:val="none" w:sz="0" w:space="0" w:color="auto"/>
                <w:bottom w:val="none" w:sz="0" w:space="0" w:color="auto"/>
                <w:right w:val="none" w:sz="0" w:space="0" w:color="auto"/>
              </w:divBdr>
              <w:divsChild>
                <w:div w:id="140603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278146">
          <w:marLeft w:val="0"/>
          <w:marRight w:val="0"/>
          <w:marTop w:val="0"/>
          <w:marBottom w:val="0"/>
          <w:divBdr>
            <w:top w:val="none" w:sz="0" w:space="0" w:color="auto"/>
            <w:left w:val="none" w:sz="0" w:space="0" w:color="auto"/>
            <w:bottom w:val="none" w:sz="0" w:space="0" w:color="auto"/>
            <w:right w:val="none" w:sz="0" w:space="0" w:color="auto"/>
          </w:divBdr>
          <w:divsChild>
            <w:div w:id="1327171089">
              <w:marLeft w:val="0"/>
              <w:marRight w:val="0"/>
              <w:marTop w:val="0"/>
              <w:marBottom w:val="0"/>
              <w:divBdr>
                <w:top w:val="none" w:sz="0" w:space="0" w:color="auto"/>
                <w:left w:val="none" w:sz="0" w:space="0" w:color="auto"/>
                <w:bottom w:val="none" w:sz="0" w:space="0" w:color="auto"/>
                <w:right w:val="none" w:sz="0" w:space="0" w:color="auto"/>
              </w:divBdr>
              <w:divsChild>
                <w:div w:id="1960716546">
                  <w:marLeft w:val="0"/>
                  <w:marRight w:val="0"/>
                  <w:marTop w:val="0"/>
                  <w:marBottom w:val="0"/>
                  <w:divBdr>
                    <w:top w:val="none" w:sz="0" w:space="0" w:color="auto"/>
                    <w:left w:val="none" w:sz="0" w:space="0" w:color="auto"/>
                    <w:bottom w:val="none" w:sz="0" w:space="0" w:color="auto"/>
                    <w:right w:val="none" w:sz="0" w:space="0" w:color="auto"/>
                  </w:divBdr>
                </w:div>
              </w:divsChild>
            </w:div>
            <w:div w:id="1121724453">
              <w:marLeft w:val="0"/>
              <w:marRight w:val="0"/>
              <w:marTop w:val="0"/>
              <w:marBottom w:val="0"/>
              <w:divBdr>
                <w:top w:val="none" w:sz="0" w:space="0" w:color="auto"/>
                <w:left w:val="none" w:sz="0" w:space="0" w:color="auto"/>
                <w:bottom w:val="none" w:sz="0" w:space="0" w:color="auto"/>
                <w:right w:val="none" w:sz="0" w:space="0" w:color="auto"/>
              </w:divBdr>
              <w:divsChild>
                <w:div w:id="826870092">
                  <w:marLeft w:val="0"/>
                  <w:marRight w:val="0"/>
                  <w:marTop w:val="0"/>
                  <w:marBottom w:val="0"/>
                  <w:divBdr>
                    <w:top w:val="none" w:sz="0" w:space="0" w:color="auto"/>
                    <w:left w:val="none" w:sz="0" w:space="0" w:color="auto"/>
                    <w:bottom w:val="none" w:sz="0" w:space="0" w:color="auto"/>
                    <w:right w:val="none" w:sz="0" w:space="0" w:color="auto"/>
                  </w:divBdr>
                </w:div>
              </w:divsChild>
            </w:div>
            <w:div w:id="1239172078">
              <w:marLeft w:val="0"/>
              <w:marRight w:val="0"/>
              <w:marTop w:val="0"/>
              <w:marBottom w:val="0"/>
              <w:divBdr>
                <w:top w:val="none" w:sz="0" w:space="0" w:color="auto"/>
                <w:left w:val="none" w:sz="0" w:space="0" w:color="auto"/>
                <w:bottom w:val="none" w:sz="0" w:space="0" w:color="auto"/>
                <w:right w:val="none" w:sz="0" w:space="0" w:color="auto"/>
              </w:divBdr>
              <w:divsChild>
                <w:div w:id="43856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194263">
          <w:marLeft w:val="0"/>
          <w:marRight w:val="0"/>
          <w:marTop w:val="0"/>
          <w:marBottom w:val="0"/>
          <w:divBdr>
            <w:top w:val="none" w:sz="0" w:space="0" w:color="auto"/>
            <w:left w:val="none" w:sz="0" w:space="0" w:color="auto"/>
            <w:bottom w:val="none" w:sz="0" w:space="0" w:color="auto"/>
            <w:right w:val="none" w:sz="0" w:space="0" w:color="auto"/>
          </w:divBdr>
          <w:divsChild>
            <w:div w:id="458374609">
              <w:marLeft w:val="0"/>
              <w:marRight w:val="0"/>
              <w:marTop w:val="0"/>
              <w:marBottom w:val="0"/>
              <w:divBdr>
                <w:top w:val="none" w:sz="0" w:space="0" w:color="auto"/>
                <w:left w:val="none" w:sz="0" w:space="0" w:color="auto"/>
                <w:bottom w:val="none" w:sz="0" w:space="0" w:color="auto"/>
                <w:right w:val="none" w:sz="0" w:space="0" w:color="auto"/>
              </w:divBdr>
              <w:divsChild>
                <w:div w:id="1132334245">
                  <w:marLeft w:val="0"/>
                  <w:marRight w:val="0"/>
                  <w:marTop w:val="0"/>
                  <w:marBottom w:val="0"/>
                  <w:divBdr>
                    <w:top w:val="none" w:sz="0" w:space="0" w:color="auto"/>
                    <w:left w:val="none" w:sz="0" w:space="0" w:color="auto"/>
                    <w:bottom w:val="none" w:sz="0" w:space="0" w:color="auto"/>
                    <w:right w:val="none" w:sz="0" w:space="0" w:color="auto"/>
                  </w:divBdr>
                </w:div>
              </w:divsChild>
            </w:div>
            <w:div w:id="929628631">
              <w:marLeft w:val="0"/>
              <w:marRight w:val="0"/>
              <w:marTop w:val="0"/>
              <w:marBottom w:val="0"/>
              <w:divBdr>
                <w:top w:val="none" w:sz="0" w:space="0" w:color="auto"/>
                <w:left w:val="none" w:sz="0" w:space="0" w:color="auto"/>
                <w:bottom w:val="none" w:sz="0" w:space="0" w:color="auto"/>
                <w:right w:val="none" w:sz="0" w:space="0" w:color="auto"/>
              </w:divBdr>
              <w:divsChild>
                <w:div w:id="1008488612">
                  <w:marLeft w:val="0"/>
                  <w:marRight w:val="0"/>
                  <w:marTop w:val="0"/>
                  <w:marBottom w:val="0"/>
                  <w:divBdr>
                    <w:top w:val="none" w:sz="0" w:space="0" w:color="auto"/>
                    <w:left w:val="none" w:sz="0" w:space="0" w:color="auto"/>
                    <w:bottom w:val="none" w:sz="0" w:space="0" w:color="auto"/>
                    <w:right w:val="none" w:sz="0" w:space="0" w:color="auto"/>
                  </w:divBdr>
                </w:div>
              </w:divsChild>
            </w:div>
            <w:div w:id="151917000">
              <w:marLeft w:val="0"/>
              <w:marRight w:val="0"/>
              <w:marTop w:val="0"/>
              <w:marBottom w:val="0"/>
              <w:divBdr>
                <w:top w:val="none" w:sz="0" w:space="0" w:color="auto"/>
                <w:left w:val="none" w:sz="0" w:space="0" w:color="auto"/>
                <w:bottom w:val="none" w:sz="0" w:space="0" w:color="auto"/>
                <w:right w:val="none" w:sz="0" w:space="0" w:color="auto"/>
              </w:divBdr>
              <w:divsChild>
                <w:div w:id="6364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09671">
          <w:marLeft w:val="0"/>
          <w:marRight w:val="0"/>
          <w:marTop w:val="0"/>
          <w:marBottom w:val="0"/>
          <w:divBdr>
            <w:top w:val="none" w:sz="0" w:space="0" w:color="auto"/>
            <w:left w:val="none" w:sz="0" w:space="0" w:color="auto"/>
            <w:bottom w:val="none" w:sz="0" w:space="0" w:color="auto"/>
            <w:right w:val="none" w:sz="0" w:space="0" w:color="auto"/>
          </w:divBdr>
          <w:divsChild>
            <w:div w:id="1649937823">
              <w:marLeft w:val="0"/>
              <w:marRight w:val="0"/>
              <w:marTop w:val="0"/>
              <w:marBottom w:val="0"/>
              <w:divBdr>
                <w:top w:val="none" w:sz="0" w:space="0" w:color="auto"/>
                <w:left w:val="none" w:sz="0" w:space="0" w:color="auto"/>
                <w:bottom w:val="none" w:sz="0" w:space="0" w:color="auto"/>
                <w:right w:val="none" w:sz="0" w:space="0" w:color="auto"/>
              </w:divBdr>
              <w:divsChild>
                <w:div w:id="273290260">
                  <w:marLeft w:val="0"/>
                  <w:marRight w:val="0"/>
                  <w:marTop w:val="0"/>
                  <w:marBottom w:val="0"/>
                  <w:divBdr>
                    <w:top w:val="none" w:sz="0" w:space="0" w:color="auto"/>
                    <w:left w:val="none" w:sz="0" w:space="0" w:color="auto"/>
                    <w:bottom w:val="none" w:sz="0" w:space="0" w:color="auto"/>
                    <w:right w:val="none" w:sz="0" w:space="0" w:color="auto"/>
                  </w:divBdr>
                </w:div>
              </w:divsChild>
            </w:div>
            <w:div w:id="867066049">
              <w:marLeft w:val="0"/>
              <w:marRight w:val="0"/>
              <w:marTop w:val="0"/>
              <w:marBottom w:val="0"/>
              <w:divBdr>
                <w:top w:val="none" w:sz="0" w:space="0" w:color="auto"/>
                <w:left w:val="none" w:sz="0" w:space="0" w:color="auto"/>
                <w:bottom w:val="none" w:sz="0" w:space="0" w:color="auto"/>
                <w:right w:val="none" w:sz="0" w:space="0" w:color="auto"/>
              </w:divBdr>
              <w:divsChild>
                <w:div w:id="95028032">
                  <w:marLeft w:val="0"/>
                  <w:marRight w:val="0"/>
                  <w:marTop w:val="0"/>
                  <w:marBottom w:val="0"/>
                  <w:divBdr>
                    <w:top w:val="none" w:sz="0" w:space="0" w:color="auto"/>
                    <w:left w:val="none" w:sz="0" w:space="0" w:color="auto"/>
                    <w:bottom w:val="none" w:sz="0" w:space="0" w:color="auto"/>
                    <w:right w:val="none" w:sz="0" w:space="0" w:color="auto"/>
                  </w:divBdr>
                </w:div>
              </w:divsChild>
            </w:div>
            <w:div w:id="841628849">
              <w:marLeft w:val="0"/>
              <w:marRight w:val="0"/>
              <w:marTop w:val="0"/>
              <w:marBottom w:val="0"/>
              <w:divBdr>
                <w:top w:val="none" w:sz="0" w:space="0" w:color="auto"/>
                <w:left w:val="none" w:sz="0" w:space="0" w:color="auto"/>
                <w:bottom w:val="none" w:sz="0" w:space="0" w:color="auto"/>
                <w:right w:val="none" w:sz="0" w:space="0" w:color="auto"/>
              </w:divBdr>
              <w:divsChild>
                <w:div w:id="207835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09586">
          <w:marLeft w:val="0"/>
          <w:marRight w:val="0"/>
          <w:marTop w:val="0"/>
          <w:marBottom w:val="0"/>
          <w:divBdr>
            <w:top w:val="none" w:sz="0" w:space="0" w:color="auto"/>
            <w:left w:val="none" w:sz="0" w:space="0" w:color="auto"/>
            <w:bottom w:val="none" w:sz="0" w:space="0" w:color="auto"/>
            <w:right w:val="none" w:sz="0" w:space="0" w:color="auto"/>
          </w:divBdr>
          <w:divsChild>
            <w:div w:id="811556276">
              <w:marLeft w:val="0"/>
              <w:marRight w:val="0"/>
              <w:marTop w:val="0"/>
              <w:marBottom w:val="0"/>
              <w:divBdr>
                <w:top w:val="none" w:sz="0" w:space="0" w:color="auto"/>
                <w:left w:val="none" w:sz="0" w:space="0" w:color="auto"/>
                <w:bottom w:val="none" w:sz="0" w:space="0" w:color="auto"/>
                <w:right w:val="none" w:sz="0" w:space="0" w:color="auto"/>
              </w:divBdr>
              <w:divsChild>
                <w:div w:id="1384982932">
                  <w:marLeft w:val="0"/>
                  <w:marRight w:val="0"/>
                  <w:marTop w:val="0"/>
                  <w:marBottom w:val="0"/>
                  <w:divBdr>
                    <w:top w:val="none" w:sz="0" w:space="0" w:color="auto"/>
                    <w:left w:val="none" w:sz="0" w:space="0" w:color="auto"/>
                    <w:bottom w:val="none" w:sz="0" w:space="0" w:color="auto"/>
                    <w:right w:val="none" w:sz="0" w:space="0" w:color="auto"/>
                  </w:divBdr>
                </w:div>
              </w:divsChild>
            </w:div>
            <w:div w:id="449053251">
              <w:marLeft w:val="0"/>
              <w:marRight w:val="0"/>
              <w:marTop w:val="0"/>
              <w:marBottom w:val="0"/>
              <w:divBdr>
                <w:top w:val="none" w:sz="0" w:space="0" w:color="auto"/>
                <w:left w:val="none" w:sz="0" w:space="0" w:color="auto"/>
                <w:bottom w:val="none" w:sz="0" w:space="0" w:color="auto"/>
                <w:right w:val="none" w:sz="0" w:space="0" w:color="auto"/>
              </w:divBdr>
              <w:divsChild>
                <w:div w:id="1225677217">
                  <w:marLeft w:val="0"/>
                  <w:marRight w:val="0"/>
                  <w:marTop w:val="0"/>
                  <w:marBottom w:val="0"/>
                  <w:divBdr>
                    <w:top w:val="none" w:sz="0" w:space="0" w:color="auto"/>
                    <w:left w:val="none" w:sz="0" w:space="0" w:color="auto"/>
                    <w:bottom w:val="none" w:sz="0" w:space="0" w:color="auto"/>
                    <w:right w:val="none" w:sz="0" w:space="0" w:color="auto"/>
                  </w:divBdr>
                </w:div>
              </w:divsChild>
            </w:div>
            <w:div w:id="707989881">
              <w:marLeft w:val="0"/>
              <w:marRight w:val="0"/>
              <w:marTop w:val="0"/>
              <w:marBottom w:val="0"/>
              <w:divBdr>
                <w:top w:val="none" w:sz="0" w:space="0" w:color="auto"/>
                <w:left w:val="none" w:sz="0" w:space="0" w:color="auto"/>
                <w:bottom w:val="none" w:sz="0" w:space="0" w:color="auto"/>
                <w:right w:val="none" w:sz="0" w:space="0" w:color="auto"/>
              </w:divBdr>
              <w:divsChild>
                <w:div w:id="149861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377593">
          <w:marLeft w:val="0"/>
          <w:marRight w:val="0"/>
          <w:marTop w:val="0"/>
          <w:marBottom w:val="0"/>
          <w:divBdr>
            <w:top w:val="none" w:sz="0" w:space="0" w:color="auto"/>
            <w:left w:val="none" w:sz="0" w:space="0" w:color="auto"/>
            <w:bottom w:val="none" w:sz="0" w:space="0" w:color="auto"/>
            <w:right w:val="none" w:sz="0" w:space="0" w:color="auto"/>
          </w:divBdr>
          <w:divsChild>
            <w:div w:id="1806504451">
              <w:marLeft w:val="0"/>
              <w:marRight w:val="0"/>
              <w:marTop w:val="0"/>
              <w:marBottom w:val="0"/>
              <w:divBdr>
                <w:top w:val="none" w:sz="0" w:space="0" w:color="auto"/>
                <w:left w:val="none" w:sz="0" w:space="0" w:color="auto"/>
                <w:bottom w:val="none" w:sz="0" w:space="0" w:color="auto"/>
                <w:right w:val="none" w:sz="0" w:space="0" w:color="auto"/>
              </w:divBdr>
              <w:divsChild>
                <w:div w:id="1328629150">
                  <w:marLeft w:val="0"/>
                  <w:marRight w:val="0"/>
                  <w:marTop w:val="0"/>
                  <w:marBottom w:val="0"/>
                  <w:divBdr>
                    <w:top w:val="none" w:sz="0" w:space="0" w:color="auto"/>
                    <w:left w:val="none" w:sz="0" w:space="0" w:color="auto"/>
                    <w:bottom w:val="none" w:sz="0" w:space="0" w:color="auto"/>
                    <w:right w:val="none" w:sz="0" w:space="0" w:color="auto"/>
                  </w:divBdr>
                </w:div>
              </w:divsChild>
            </w:div>
            <w:div w:id="1987663808">
              <w:marLeft w:val="0"/>
              <w:marRight w:val="0"/>
              <w:marTop w:val="0"/>
              <w:marBottom w:val="0"/>
              <w:divBdr>
                <w:top w:val="none" w:sz="0" w:space="0" w:color="auto"/>
                <w:left w:val="none" w:sz="0" w:space="0" w:color="auto"/>
                <w:bottom w:val="none" w:sz="0" w:space="0" w:color="auto"/>
                <w:right w:val="none" w:sz="0" w:space="0" w:color="auto"/>
              </w:divBdr>
              <w:divsChild>
                <w:div w:id="1870752805">
                  <w:marLeft w:val="0"/>
                  <w:marRight w:val="0"/>
                  <w:marTop w:val="0"/>
                  <w:marBottom w:val="0"/>
                  <w:divBdr>
                    <w:top w:val="none" w:sz="0" w:space="0" w:color="auto"/>
                    <w:left w:val="none" w:sz="0" w:space="0" w:color="auto"/>
                    <w:bottom w:val="none" w:sz="0" w:space="0" w:color="auto"/>
                    <w:right w:val="none" w:sz="0" w:space="0" w:color="auto"/>
                  </w:divBdr>
                </w:div>
              </w:divsChild>
            </w:div>
            <w:div w:id="2037266673">
              <w:marLeft w:val="0"/>
              <w:marRight w:val="0"/>
              <w:marTop w:val="0"/>
              <w:marBottom w:val="0"/>
              <w:divBdr>
                <w:top w:val="none" w:sz="0" w:space="0" w:color="auto"/>
                <w:left w:val="none" w:sz="0" w:space="0" w:color="auto"/>
                <w:bottom w:val="none" w:sz="0" w:space="0" w:color="auto"/>
                <w:right w:val="none" w:sz="0" w:space="0" w:color="auto"/>
              </w:divBdr>
              <w:divsChild>
                <w:div w:id="3569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279289">
          <w:marLeft w:val="0"/>
          <w:marRight w:val="0"/>
          <w:marTop w:val="0"/>
          <w:marBottom w:val="0"/>
          <w:divBdr>
            <w:top w:val="none" w:sz="0" w:space="0" w:color="auto"/>
            <w:left w:val="none" w:sz="0" w:space="0" w:color="auto"/>
            <w:bottom w:val="none" w:sz="0" w:space="0" w:color="auto"/>
            <w:right w:val="none" w:sz="0" w:space="0" w:color="auto"/>
          </w:divBdr>
          <w:divsChild>
            <w:div w:id="654532156">
              <w:marLeft w:val="0"/>
              <w:marRight w:val="0"/>
              <w:marTop w:val="0"/>
              <w:marBottom w:val="0"/>
              <w:divBdr>
                <w:top w:val="none" w:sz="0" w:space="0" w:color="auto"/>
                <w:left w:val="none" w:sz="0" w:space="0" w:color="auto"/>
                <w:bottom w:val="none" w:sz="0" w:space="0" w:color="auto"/>
                <w:right w:val="none" w:sz="0" w:space="0" w:color="auto"/>
              </w:divBdr>
              <w:divsChild>
                <w:div w:id="503520976">
                  <w:marLeft w:val="0"/>
                  <w:marRight w:val="0"/>
                  <w:marTop w:val="0"/>
                  <w:marBottom w:val="0"/>
                  <w:divBdr>
                    <w:top w:val="none" w:sz="0" w:space="0" w:color="auto"/>
                    <w:left w:val="none" w:sz="0" w:space="0" w:color="auto"/>
                    <w:bottom w:val="none" w:sz="0" w:space="0" w:color="auto"/>
                    <w:right w:val="none" w:sz="0" w:space="0" w:color="auto"/>
                  </w:divBdr>
                </w:div>
              </w:divsChild>
            </w:div>
            <w:div w:id="1427267256">
              <w:marLeft w:val="0"/>
              <w:marRight w:val="0"/>
              <w:marTop w:val="0"/>
              <w:marBottom w:val="0"/>
              <w:divBdr>
                <w:top w:val="none" w:sz="0" w:space="0" w:color="auto"/>
                <w:left w:val="none" w:sz="0" w:space="0" w:color="auto"/>
                <w:bottom w:val="none" w:sz="0" w:space="0" w:color="auto"/>
                <w:right w:val="none" w:sz="0" w:space="0" w:color="auto"/>
              </w:divBdr>
              <w:divsChild>
                <w:div w:id="1788887607">
                  <w:marLeft w:val="0"/>
                  <w:marRight w:val="0"/>
                  <w:marTop w:val="0"/>
                  <w:marBottom w:val="0"/>
                  <w:divBdr>
                    <w:top w:val="none" w:sz="0" w:space="0" w:color="auto"/>
                    <w:left w:val="none" w:sz="0" w:space="0" w:color="auto"/>
                    <w:bottom w:val="none" w:sz="0" w:space="0" w:color="auto"/>
                    <w:right w:val="none" w:sz="0" w:space="0" w:color="auto"/>
                  </w:divBdr>
                </w:div>
              </w:divsChild>
            </w:div>
            <w:div w:id="311914146">
              <w:marLeft w:val="0"/>
              <w:marRight w:val="0"/>
              <w:marTop w:val="0"/>
              <w:marBottom w:val="0"/>
              <w:divBdr>
                <w:top w:val="none" w:sz="0" w:space="0" w:color="auto"/>
                <w:left w:val="none" w:sz="0" w:space="0" w:color="auto"/>
                <w:bottom w:val="none" w:sz="0" w:space="0" w:color="auto"/>
                <w:right w:val="none" w:sz="0" w:space="0" w:color="auto"/>
              </w:divBdr>
              <w:divsChild>
                <w:div w:id="131283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359">
          <w:marLeft w:val="0"/>
          <w:marRight w:val="0"/>
          <w:marTop w:val="0"/>
          <w:marBottom w:val="0"/>
          <w:divBdr>
            <w:top w:val="none" w:sz="0" w:space="0" w:color="auto"/>
            <w:left w:val="none" w:sz="0" w:space="0" w:color="auto"/>
            <w:bottom w:val="none" w:sz="0" w:space="0" w:color="auto"/>
            <w:right w:val="none" w:sz="0" w:space="0" w:color="auto"/>
          </w:divBdr>
          <w:divsChild>
            <w:div w:id="1823501142">
              <w:marLeft w:val="0"/>
              <w:marRight w:val="0"/>
              <w:marTop w:val="0"/>
              <w:marBottom w:val="0"/>
              <w:divBdr>
                <w:top w:val="none" w:sz="0" w:space="0" w:color="auto"/>
                <w:left w:val="none" w:sz="0" w:space="0" w:color="auto"/>
                <w:bottom w:val="none" w:sz="0" w:space="0" w:color="auto"/>
                <w:right w:val="none" w:sz="0" w:space="0" w:color="auto"/>
              </w:divBdr>
              <w:divsChild>
                <w:div w:id="1631862578">
                  <w:marLeft w:val="0"/>
                  <w:marRight w:val="0"/>
                  <w:marTop w:val="0"/>
                  <w:marBottom w:val="0"/>
                  <w:divBdr>
                    <w:top w:val="none" w:sz="0" w:space="0" w:color="auto"/>
                    <w:left w:val="none" w:sz="0" w:space="0" w:color="auto"/>
                    <w:bottom w:val="none" w:sz="0" w:space="0" w:color="auto"/>
                    <w:right w:val="none" w:sz="0" w:space="0" w:color="auto"/>
                  </w:divBdr>
                </w:div>
              </w:divsChild>
            </w:div>
            <w:div w:id="1766877492">
              <w:marLeft w:val="0"/>
              <w:marRight w:val="0"/>
              <w:marTop w:val="0"/>
              <w:marBottom w:val="0"/>
              <w:divBdr>
                <w:top w:val="none" w:sz="0" w:space="0" w:color="auto"/>
                <w:left w:val="none" w:sz="0" w:space="0" w:color="auto"/>
                <w:bottom w:val="none" w:sz="0" w:space="0" w:color="auto"/>
                <w:right w:val="none" w:sz="0" w:space="0" w:color="auto"/>
              </w:divBdr>
              <w:divsChild>
                <w:div w:id="207381804">
                  <w:marLeft w:val="0"/>
                  <w:marRight w:val="0"/>
                  <w:marTop w:val="0"/>
                  <w:marBottom w:val="0"/>
                  <w:divBdr>
                    <w:top w:val="none" w:sz="0" w:space="0" w:color="auto"/>
                    <w:left w:val="none" w:sz="0" w:space="0" w:color="auto"/>
                    <w:bottom w:val="none" w:sz="0" w:space="0" w:color="auto"/>
                    <w:right w:val="none" w:sz="0" w:space="0" w:color="auto"/>
                  </w:divBdr>
                </w:div>
              </w:divsChild>
            </w:div>
            <w:div w:id="1398897556">
              <w:marLeft w:val="0"/>
              <w:marRight w:val="0"/>
              <w:marTop w:val="0"/>
              <w:marBottom w:val="0"/>
              <w:divBdr>
                <w:top w:val="none" w:sz="0" w:space="0" w:color="auto"/>
                <w:left w:val="none" w:sz="0" w:space="0" w:color="auto"/>
                <w:bottom w:val="none" w:sz="0" w:space="0" w:color="auto"/>
                <w:right w:val="none" w:sz="0" w:space="0" w:color="auto"/>
              </w:divBdr>
              <w:divsChild>
                <w:div w:id="14143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22499">
          <w:marLeft w:val="0"/>
          <w:marRight w:val="0"/>
          <w:marTop w:val="0"/>
          <w:marBottom w:val="0"/>
          <w:divBdr>
            <w:top w:val="none" w:sz="0" w:space="0" w:color="auto"/>
            <w:left w:val="none" w:sz="0" w:space="0" w:color="auto"/>
            <w:bottom w:val="none" w:sz="0" w:space="0" w:color="auto"/>
            <w:right w:val="none" w:sz="0" w:space="0" w:color="auto"/>
          </w:divBdr>
          <w:divsChild>
            <w:div w:id="44302489">
              <w:marLeft w:val="0"/>
              <w:marRight w:val="0"/>
              <w:marTop w:val="0"/>
              <w:marBottom w:val="0"/>
              <w:divBdr>
                <w:top w:val="none" w:sz="0" w:space="0" w:color="auto"/>
                <w:left w:val="none" w:sz="0" w:space="0" w:color="auto"/>
                <w:bottom w:val="none" w:sz="0" w:space="0" w:color="auto"/>
                <w:right w:val="none" w:sz="0" w:space="0" w:color="auto"/>
              </w:divBdr>
              <w:divsChild>
                <w:div w:id="2077438803">
                  <w:marLeft w:val="0"/>
                  <w:marRight w:val="0"/>
                  <w:marTop w:val="0"/>
                  <w:marBottom w:val="0"/>
                  <w:divBdr>
                    <w:top w:val="none" w:sz="0" w:space="0" w:color="auto"/>
                    <w:left w:val="none" w:sz="0" w:space="0" w:color="auto"/>
                    <w:bottom w:val="none" w:sz="0" w:space="0" w:color="auto"/>
                    <w:right w:val="none" w:sz="0" w:space="0" w:color="auto"/>
                  </w:divBdr>
                </w:div>
              </w:divsChild>
            </w:div>
            <w:div w:id="226041352">
              <w:marLeft w:val="0"/>
              <w:marRight w:val="0"/>
              <w:marTop w:val="0"/>
              <w:marBottom w:val="0"/>
              <w:divBdr>
                <w:top w:val="none" w:sz="0" w:space="0" w:color="auto"/>
                <w:left w:val="none" w:sz="0" w:space="0" w:color="auto"/>
                <w:bottom w:val="none" w:sz="0" w:space="0" w:color="auto"/>
                <w:right w:val="none" w:sz="0" w:space="0" w:color="auto"/>
              </w:divBdr>
              <w:divsChild>
                <w:div w:id="190606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36615">
      <w:bodyDiv w:val="1"/>
      <w:marLeft w:val="0"/>
      <w:marRight w:val="0"/>
      <w:marTop w:val="0"/>
      <w:marBottom w:val="0"/>
      <w:divBdr>
        <w:top w:val="none" w:sz="0" w:space="0" w:color="auto"/>
        <w:left w:val="none" w:sz="0" w:space="0" w:color="auto"/>
        <w:bottom w:val="none" w:sz="0" w:space="0" w:color="auto"/>
        <w:right w:val="none" w:sz="0" w:space="0" w:color="auto"/>
      </w:divBdr>
      <w:divsChild>
        <w:div w:id="2064986083">
          <w:marLeft w:val="0"/>
          <w:marRight w:val="0"/>
          <w:marTop w:val="0"/>
          <w:marBottom w:val="0"/>
          <w:divBdr>
            <w:top w:val="none" w:sz="0" w:space="0" w:color="auto"/>
            <w:left w:val="none" w:sz="0" w:space="0" w:color="auto"/>
            <w:bottom w:val="none" w:sz="0" w:space="0" w:color="auto"/>
            <w:right w:val="none" w:sz="0" w:space="0" w:color="auto"/>
          </w:divBdr>
          <w:divsChild>
            <w:div w:id="167869393">
              <w:marLeft w:val="0"/>
              <w:marRight w:val="0"/>
              <w:marTop w:val="0"/>
              <w:marBottom w:val="0"/>
              <w:divBdr>
                <w:top w:val="none" w:sz="0" w:space="0" w:color="auto"/>
                <w:left w:val="none" w:sz="0" w:space="0" w:color="auto"/>
                <w:bottom w:val="none" w:sz="0" w:space="0" w:color="auto"/>
                <w:right w:val="none" w:sz="0" w:space="0" w:color="auto"/>
              </w:divBdr>
              <w:divsChild>
                <w:div w:id="69812062">
                  <w:marLeft w:val="0"/>
                  <w:marRight w:val="0"/>
                  <w:marTop w:val="0"/>
                  <w:marBottom w:val="0"/>
                  <w:divBdr>
                    <w:top w:val="none" w:sz="0" w:space="0" w:color="auto"/>
                    <w:left w:val="none" w:sz="0" w:space="0" w:color="auto"/>
                    <w:bottom w:val="none" w:sz="0" w:space="0" w:color="auto"/>
                    <w:right w:val="none" w:sz="0" w:space="0" w:color="auto"/>
                  </w:divBdr>
                </w:div>
              </w:divsChild>
            </w:div>
            <w:div w:id="896669771">
              <w:marLeft w:val="0"/>
              <w:marRight w:val="0"/>
              <w:marTop w:val="0"/>
              <w:marBottom w:val="0"/>
              <w:divBdr>
                <w:top w:val="none" w:sz="0" w:space="0" w:color="auto"/>
                <w:left w:val="none" w:sz="0" w:space="0" w:color="auto"/>
                <w:bottom w:val="none" w:sz="0" w:space="0" w:color="auto"/>
                <w:right w:val="none" w:sz="0" w:space="0" w:color="auto"/>
              </w:divBdr>
              <w:divsChild>
                <w:div w:id="10245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7143</Words>
  <Characters>40718</Characters>
  <Application>Microsoft Office Word</Application>
  <DocSecurity>0</DocSecurity>
  <Lines>339</Lines>
  <Paragraphs>95</Paragraphs>
  <ScaleCrop>false</ScaleCrop>
  <Company/>
  <LinksUpToDate>false</LinksUpToDate>
  <CharactersWithSpaces>47766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baker</dc:creator>
  <cp:keywords/>
  <dc:description/>
  <cp:lastModifiedBy>william baker</cp:lastModifiedBy>
  <cp:revision>1</cp:revision>
  <dcterms:created xsi:type="dcterms:W3CDTF">2021-10-26T18:37:00Z</dcterms:created>
  <dcterms:modified xsi:type="dcterms:W3CDTF">2021-10-26T18:41:00Z</dcterms:modified>
</cp:coreProperties>
</file>